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Tardia, RCOM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Nagpur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were initiated on 21.02.2022 with the issuance of the statement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articles of charges. Advisory letters were issued on 09.04.2021 and 13.04.2021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 Regional Controllers of Mines, including RCOM Guwahati. The Ministry of Mines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issued a letter on 29.11.2021 seeking clarification on the approval of mining plans.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Chief Controller of Mines, IBM, issued a letter on 30.11.2021 advising remedial </w:t>
      </w:r>
      <w:r>
        <w:rPr>
          <w:rFonts w:ascii="Verdana" w:hAnsi="Verdana" w:eastAsia="Verdana"/>
          <w:b w:val="0"/>
          <w:i w:val="0"/>
          <w:color w:val="333333"/>
          <w:sz w:val="22"/>
        </w:rPr>
        <w:t>action. The Ministry approved a suspension order on 15.12.2021.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Shri K.K. Tardia, RCOM,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alleged misconduct in approving mining plans in violation of the Mines and Minerals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(Development and Regulation) Act 1957 (MMDR Act). The proceedings were held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multiple dates between June and September 2022. The key allegations include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approving mining plans contrary to the amended MMDR Act and failing to adhere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directives from higher authorities. The background details the issuance of advisory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letters and the subsequent approval of mining plans despite clear instructions.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evidence presented includes emails and letters from the Ministry of Mines and IBM.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argues that the approval was based on a misunderstanding of the law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that no clear remedial action was specified. The conclusion is that the Ministry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approved a suspension order against the officer.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Approving mining plans contrary to the amended MMDR Act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Failing to adhere to directives from higher authorities</w:t>
      </w:r>
    </w:p>
    <w:p>
      <w:pPr>
        <w:autoSpaceDN w:val="0"/>
        <w:autoSpaceDE w:val="0"/>
        <w:widowControl/>
        <w:spacing w:line="240" w:lineRule="auto" w:before="114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Disobeying the directives of higher authorities and showing insubordination</w:t>
      </w:r>
    </w:p>
    <w:p>
      <w:pPr>
        <w:sectPr>
          <w:pgSz w:w="11906" w:h="16838"/>
          <w:pgMar w:top="700" w:right="1226" w:bottom="116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4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evidence includes advisory letters dated 09.04.2021 and 13.04.2021, a letter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from the Chief Controller of Mines dated 30.11.2021, and emails from the Ministry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Mines. The findings indicate that the officer's actions were in violation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 and caused loss to the exchequer.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argues that the approval was based on a misunderstanding of the law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that no clear remedial action was specified in the letters from higher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>authorities.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Ministry approved a suspension order against the officer.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