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Officer for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Contravention of MMDR 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The officer is charged for executing lease deeds before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provisional approval of mining plans.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MMDR (Amendment) Act, 2021 came into force on 28.03.2021. A circular from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CCOM advised to revoke approved mining plans that became invalid after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amendment on 13.04.2021. Clarifications were submitted on 29.11.2021,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were approved provisionally on 19.5.2021 and finally on dates ranging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from 12.8.2021 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74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details disciplinary proceedings against an officer for executing lease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deeds for five graphite deposits before the provisional approval of mining plans,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which is in contravention of the MMDR Act 1957. The lease deeds were executed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29.1.2021, while provisional approvals were given on dates ranging from 13.8.2021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to 17.8.2021. The MMDR (Amendment) Act, 2021 came into force on 28.03.2021,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and a circular from CCOM advised to revoke approved mining plans that became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invalid after the amendment. Clarifications were submitted on 29.11.2021, and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mining plans were approved provisionally on 19.5.2021 and finally on dates ranging </w:t>
      </w:r>
      <w:r>
        <w:rPr>
          <w:rFonts w:ascii="Verdana" w:hAnsi="Verdana" w:eastAsia="Verdana"/>
          <w:b w:val="0"/>
          <w:i w:val="0"/>
          <w:color w:val="333333"/>
          <w:sz w:val="22"/>
        </w:rPr>
        <w:t>from 12.8.2021 to 17.8.2021.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320"/>
        <w:ind w:left="704" w:right="72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Executing lease deeds for five graphite deposits before the provisional </w:t>
      </w:r>
      <w:r>
        <w:rPr>
          <w:rFonts w:ascii="Verdana" w:hAnsi="Verdana" w:eastAsia="Verdana"/>
          <w:b w:val="0"/>
          <w:i w:val="0"/>
          <w:color w:val="333333"/>
          <w:sz w:val="22"/>
        </w:rPr>
        <w:t>approval of mining plans.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66" w:lineRule="auto" w:before="254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Key evidence includes the lease deeds for five graphite deposits executed on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29.1.2021, while provisional approvals were given on dates ranging from 13.8.2021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to 17.8.2021. The rights of existing concession holders under Section 10A(2)(b) </w:t>
      </w:r>
      <w:r>
        <w:rPr>
          <w:rFonts w:ascii="Verdana" w:hAnsi="Verdana" w:eastAsia="Verdana"/>
          <w:b w:val="0"/>
          <w:i w:val="0"/>
          <w:color w:val="333333"/>
          <w:sz w:val="22"/>
        </w:rPr>
        <w:t>have lapsed with effect from 28.03.2021.</w:t>
      </w:r>
    </w:p>
    <w:p>
      <w:pPr>
        <w:sectPr>
          <w:pgSz w:w="11906" w:h="16838"/>
          <w:pgMar w:top="700" w:right="1226" w:bottom="580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final outcome or current status of the case is not explicitly mentioned in the </w:t>
      </w:r>
      <w:r>
        <w:rPr>
          <w:rFonts w:ascii="Verdana" w:hAnsi="Verdana" w:eastAsia="Verdana"/>
          <w:b w:val="0"/>
          <w:i w:val="0"/>
          <w:color w:val="333333"/>
          <w:sz w:val="22"/>
        </w:rPr>
        <w:t>provided text.</w:t>
      </w:r>
    </w:p>
    <w:sectPr w:rsidR="00FC693F" w:rsidRPr="0006063C" w:rsidSect="00034616">
      <w:pgSz w:w="11906" w:h="16838"/>
      <w:pgMar w:top="56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