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Disciplinary Proceedings Against Shri K.K.</w:t>
      </w:r>
    </w:p>
    <w:p>
      <w:pPr>
        <w:autoSpaceDN w:val="0"/>
        <w:autoSpaceDE w:val="0"/>
        <w:widowControl/>
        <w:spacing w:line="240" w:lineRule="auto" w:before="68" w:after="334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3366"/>
          <w:sz w:val="36"/>
          <w:u w:val="single"/>
        </w:rPr>
        <w:t>Tardia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820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6" w:after="0"/>
              <w:ind w:left="166" w:right="0" w:firstLine="0"/>
              <w:jc w:val="left"/>
            </w:pPr>
            <w:r>
              <w:rPr>
                <w:w w:val="98.99526742788461"/>
                <w:rFonts w:ascii="Verdana" w:hAnsi="Verdana" w:eastAsia="Verdana"/>
                <w:b/>
                <w:i w:val="0"/>
                <w:color w:val="333333"/>
                <w:sz w:val="26"/>
              </w:rPr>
              <w:t>Charged Officer Details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386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Name: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Shri K.K. Tardia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1114"/>
        </w:trPr>
        <w:tc>
          <w:tcPr>
            <w:tcW w:type="dxa" w:w="9416"/>
            <w:tcBorders/>
            <w:shd w:fill="f4f4f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Designation: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Unknown</w:t>
            </w:r>
          </w:p>
          <w:p>
            <w:pPr>
              <w:autoSpaceDN w:val="0"/>
              <w:autoSpaceDE w:val="0"/>
              <w:widowControl/>
              <w:spacing w:line="240" w:lineRule="auto" w:before="114" w:after="0"/>
              <w:ind w:left="86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• </w:t>
            </w:r>
            <w:r>
              <w:rPr>
                <w:rFonts w:ascii="Verdana" w:hAnsi="Verdana" w:eastAsia="Verdana"/>
                <w:b/>
                <w:i w:val="0"/>
                <w:color w:val="333333"/>
                <w:sz w:val="22"/>
              </w:rPr>
              <w:t>Details:</w:t>
            </w:r>
            <w:r>
              <w:rPr>
                <w:rFonts w:ascii="Verdana" w:hAnsi="Verdana" w:eastAsia="Verdana"/>
                <w:b w:val="0"/>
                <w:i w:val="0"/>
                <w:color w:val="333333"/>
                <w:sz w:val="22"/>
              </w:rPr>
              <w:t xml:space="preserve"> Charged officer involved in the approval of mining plans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782"/>
        </w:trPr>
        <w:tc>
          <w:tcPr>
            <w:tcW w:type="dxa" w:w="9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9416"/>
            </w:tblGrid>
            <w:tr>
              <w:trPr>
                <w:trHeight w:hRule="exact" w:val="462"/>
              </w:trPr>
              <w:tc>
                <w:tcPr>
                  <w:tcW w:type="dxa" w:w="9416"/>
                  <w:tcBorders/>
                  <w:shd w:fill="ccccc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6" w:after="0"/>
                    <w:ind w:left="0" w:right="0" w:firstLine="0"/>
                    <w:jc w:val="left"/>
                  </w:pPr>
                  <w:r>
                    <w:rPr>
                      <w:rFonts w:ascii="Verdana" w:hAnsi="Verdana" w:eastAsia="Verdana"/>
                      <w:b/>
                      <w:i w:val="0"/>
                      <w:color w:val="333333"/>
                      <w:sz w:val="28"/>
                    </w:rPr>
                    <w:t>Background &amp; Chronology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59" w:lineRule="auto" w:before="252" w:after="320"/>
        <w:ind w:left="0" w:right="576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does not provide a detailed background or chronology of events </w:t>
      </w:r>
      <w:r>
        <w:rPr>
          <w:rFonts w:ascii="Verdana" w:hAnsi="Verdana" w:eastAsia="Verdana"/>
          <w:b w:val="0"/>
          <w:i w:val="0"/>
          <w:color w:val="333333"/>
          <w:sz w:val="22"/>
        </w:rPr>
        <w:t>leading to the proceedings. It mentions a rejoinder submitted on 19.9.2022.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Executive Summary</w:t>
            </w:r>
          </w:p>
        </w:tc>
      </w:tr>
    </w:tbl>
    <w:p>
      <w:pPr>
        <w:autoSpaceDN w:val="0"/>
        <w:autoSpaceDE w:val="0"/>
        <w:widowControl/>
        <w:spacing w:line="266" w:lineRule="auto" w:before="252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document outlines the disciplinary proceedings against Shri K.K. Tardia, a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government officer. The case involves allegations of contravening section 5(2)(b) of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the MMDR Act by approving mining plans. Key procedural steps include a rejoinder </w:t>
      </w:r>
      <w:r>
        <w:rPr>
          <w:rFonts w:ascii="Verdana" w:hAnsi="Verdana" w:eastAsia="Verdana"/>
          <w:b w:val="0"/>
          <w:i w:val="0"/>
          <w:color w:val="333333"/>
          <w:sz w:val="22"/>
        </w:rPr>
        <w:t>submitted on 19.9.2022. No new charges or evidence are provided in the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Key Allegations</w:t>
            </w:r>
          </w:p>
        </w:tc>
      </w:tr>
    </w:tbl>
    <w:p>
      <w:pPr>
        <w:autoSpaceDN w:val="0"/>
        <w:tabs>
          <w:tab w:pos="900" w:val="left"/>
        </w:tabs>
        <w:autoSpaceDE w:val="0"/>
        <w:widowControl/>
        <w:spacing w:line="259" w:lineRule="auto" w:before="252" w:after="320"/>
        <w:ind w:left="704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• </w:t>
      </w:r>
      <w:r>
        <w:rPr>
          <w:rFonts w:ascii="Verdana" w:hAnsi="Verdana" w:eastAsia="Verdana"/>
          <w:b w:val="0"/>
          <w:i w:val="0"/>
          <w:color w:val="333333"/>
          <w:sz w:val="22"/>
        </w:rPr>
        <w:t xml:space="preserve">Approval of mining plans for Graphite cases in contravention of section 5(2) </w:t>
      </w:r>
      <w:r>
        <w:rPr>
          <w:rFonts w:ascii="Verdana" w:hAnsi="Verdana" w:eastAsia="Verdana"/>
          <w:b w:val="0"/>
          <w:i w:val="0"/>
          <w:color w:val="333333"/>
          <w:sz w:val="22"/>
        </w:rPr>
        <w:t>(b) of the MMDR Act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Evidence &amp; Findings</w:t>
            </w:r>
          </w:p>
        </w:tc>
      </w:tr>
    </w:tbl>
    <w:p>
      <w:pPr>
        <w:autoSpaceDN w:val="0"/>
        <w:autoSpaceDE w:val="0"/>
        <w:widowControl/>
        <w:spacing w:line="238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No specific evidence or findings are mentioned in the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Defense Arguments</w:t>
            </w:r>
          </w:p>
        </w:tc>
      </w:tr>
    </w:tbl>
    <w:p>
      <w:pPr>
        <w:autoSpaceDN w:val="0"/>
        <w:autoSpaceDE w:val="0"/>
        <w:widowControl/>
        <w:spacing w:line="240" w:lineRule="auto" w:before="254" w:after="32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Defense arguments not included in this document.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436"/>
      </w:tblGrid>
      <w:tr>
        <w:trPr>
          <w:trHeight w:hRule="exact" w:val="482"/>
        </w:trPr>
        <w:tc>
          <w:tcPr>
            <w:tcW w:type="dxa" w:w="9416"/>
            <w:tcBorders/>
            <w:shd w:fill="ccccc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333333"/>
                <w:sz w:val="28"/>
              </w:rPr>
              <w:t>Conclusion/Status</w:t>
            </w:r>
          </w:p>
        </w:tc>
      </w:tr>
    </w:tbl>
    <w:p>
      <w:pPr>
        <w:autoSpaceDN w:val="0"/>
        <w:autoSpaceDE w:val="0"/>
        <w:widowControl/>
        <w:spacing w:line="240" w:lineRule="auto" w:before="25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333333"/>
          <w:sz w:val="22"/>
        </w:rPr>
        <w:t>The document does not provide the final outcome or current status of the case.</w:t>
      </w:r>
    </w:p>
    <w:sectPr w:rsidR="00FC693F" w:rsidRPr="0006063C" w:rsidSect="00034616">
      <w:pgSz w:w="11906" w:h="16838"/>
      <w:pgMar w:top="700" w:right="1226" w:bottom="1104" w:left="124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