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Clarification on Approval of Five Mining Plans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for Graphite in Arunachal 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IBM-Guwahati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letter is in response to a telephonic discussion and a circular from the Central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Government dated 13.04.2021. The Regional Controller clarifies that the rights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obtain a mining lease for pending cases under Section 10(A)(2)(b) of the MMDR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1957, lapsed on the commencement of the MMDR Amendment Act, 2021,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28.03.2021. The letter provides details of the executed and registered mining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for the five cases, all of which were completed before the effective date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amendment 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 clarification letter from the Regional Controller of Mines,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Guwahati, to the Central Government regarding the approval of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in Arunachal Pradesh. The letter addresses concerns raised by the Central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Government about the validity of these mining plans in light of the Mines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Minerals (Development and Regulation) Amendment Act, 2021. The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asserts that the mining lease deeds were executed and registered before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effective date of the amendment act, thus not violating Section 5(2)(b)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Act, 1957.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320"/>
        <w:ind w:left="704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Central Government questioned the validity of the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>Graphite in Arunachal Pradesh in light of the MMDR Amendment Act,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provides evidence in the form of executed and registered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lease deeds (Annexure-2, 3, 4, 5, 6) which were completed before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effective date of the MMDR Amendment Act, 2021. The deeds confirm that the state </w:t>
      </w:r>
      <w:r>
        <w:rPr>
          <w:rFonts w:ascii="Verdana" w:hAnsi="Verdana" w:eastAsia="Verdana"/>
          <w:b w:val="0"/>
          <w:i w:val="0"/>
          <w:color w:val="333333"/>
          <w:sz w:val="22"/>
        </w:rPr>
        <w:t>government had the right to grant, execute, and register mining lease deeds for</w:t>
      </w:r>
    </w:p>
    <w:p>
      <w:pPr>
        <w:sectPr>
          <w:pgSz w:w="11906" w:h="16838"/>
          <w:pgMar w:top="700" w:right="1226" w:bottom="58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57" w:lineRule="auto" w:before="0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Graphite, which is not listed in Part-A, B, or C of the First Schedule of the MMDR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>1957.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484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526" w:firstLine="0"/>
        <w:jc w:val="both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provided by the charged officer is that the mining lease deeds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executed and registered before the effective date of the MMDR Amendment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>2021, thus not violating Section 5(2)(b) of the MMDR Act, 1957.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conclusion of the case is not explicitly mentioned in the provided text. However,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asserts that the five mining plans for Graphite in Arunachal </w:t>
      </w:r>
      <w:r>
        <w:rPr>
          <w:rFonts w:ascii="Verdana" w:hAnsi="Verdana" w:eastAsia="Verdana"/>
          <w:b w:val="0"/>
          <w:i w:val="0"/>
          <w:color w:val="333333"/>
          <w:sz w:val="22"/>
        </w:rPr>
        <w:t>Pradesh are valid and not in violation of the MMDR Act, 1957.</w:t>
      </w:r>
    </w:p>
    <w:sectPr w:rsidR="00FC693F" w:rsidRPr="0006063C" w:rsidSect="00034616">
      <w:pgSz w:w="11906" w:h="16838"/>
      <w:pgMar w:top="572" w:right="1222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