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Case Analysis - Mining Lease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Deed and Letter of Intent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Not explicitly mentioned in the provided text.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mentions a Mining Lease Deed dated 29th January 2021, and a Letter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Intent (LOI) dated 21st August 2019. No other background or chronological </w:t>
      </w:r>
      <w:r>
        <w:rPr>
          <w:rFonts w:ascii="Verdana" w:hAnsi="Verdana" w:eastAsia="Verdana"/>
          <w:b w:val="0"/>
          <w:i w:val="0"/>
          <w:color w:val="333333"/>
          <w:sz w:val="22"/>
        </w:rPr>
        <w:t>information is provided.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provided text does not contain significant information related to a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case. It appears to be a document related to financial transactions and mining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agreements. No specific context, charges, proceedings, or timeline is provided.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document mentions a Mining Lease Deed dated 29th January 2021, and a Letter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Intent (LOI) dated 21st August 2019.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 significant evidence or findings are 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final outcome or current status of the case is not provided.</w:t>
      </w:r>
    </w:p>
    <w:sectPr w:rsidR="00FC693F" w:rsidRPr="0006063C" w:rsidSect="00034616">
      <w:pgSz w:w="11906" w:h="16838"/>
      <w:pgMar w:top="700" w:right="1226" w:bottom="95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