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Shri K.K. Tardia, Regional Controller of Mines,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Faces Disciplinary Proceedings for Alleged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Violations of MMDR Act and CCS Conduct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Rules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68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  <w:p>
            <w:pPr>
              <w:autoSpaceDN w:val="0"/>
              <w:autoSpaceDE w:val="0"/>
              <w:widowControl/>
              <w:spacing w:line="240" w:lineRule="auto" w:before="116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32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None explicitly mentioned in the provided text.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case began with the approval of five mining plans for Graphite Leases by Shri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K.K. Tardia, despite the MMDR (Amendment) Act, 2021 coming into force on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28/03/2021. The preliminary hearing was held on 30.06.2022, and five hearings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were conducted. The departmental enquiry was not held on 11/08/2022 due to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sickness of the Presenting Officer. Shri K.K. Tardia pleaded not guilty of charges on </w:t>
      </w:r>
      <w:r>
        <w:rPr>
          <w:rFonts w:ascii="Verdana" w:hAnsi="Verdana" w:eastAsia="Verdana"/>
          <w:b w:val="0"/>
          <w:i w:val="0"/>
          <w:color w:val="333333"/>
          <w:sz w:val="22"/>
        </w:rPr>
        <w:t>the date of preliminary hearing.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4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Shri K.K. Tardia, Regional Controller of Mines, is facing disciplinary proceedings for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alleged violations of the Mines and Minerals (Development and Regulation) Act,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1957 (MMDR Act) and the CCS Conduct Rules, 1964. The charges stem from his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approval of mining plans for Graphite Leases despite the MMDR (Amendment) Act,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2021 coming into force. The case involves multiple allegations of disobedience,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insubordination, and lack of knowledge of rules. Key evidence includes letters from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Indian Bureau of Mines (IBM) and the Government of Arunachal Pradesh, as well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as clarifications from Shri Tardia himself. The procedural steps include preliminary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hearings, submission of clarifications, and departmental inquiries. The final outcome </w:t>
      </w:r>
      <w:r>
        <w:rPr>
          <w:rFonts w:ascii="Verdana" w:hAnsi="Verdana" w:eastAsia="Verdana"/>
          <w:b w:val="0"/>
          <w:i w:val="0"/>
          <w:color w:val="333333"/>
          <w:sz w:val="22"/>
        </w:rPr>
        <w:t>is pending.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0" w:right="0" w:firstLine="0"/>
        <w:jc w:val="center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Approval of mining plans against the provisions of the MMDR Act, 1957</w:t>
      </w:r>
    </w:p>
    <w:p>
      <w:pPr>
        <w:autoSpaceDN w:val="0"/>
        <w:autoSpaceDE w:val="0"/>
        <w:widowControl/>
        <w:spacing w:line="240" w:lineRule="auto" w:before="116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Disobedience of directives from higher authorities</w:t>
      </w:r>
    </w:p>
    <w:p>
      <w:pPr>
        <w:autoSpaceDN w:val="0"/>
        <w:tabs>
          <w:tab w:pos="900" w:val="left"/>
        </w:tabs>
        <w:autoSpaceDE w:val="0"/>
        <w:widowControl/>
        <w:spacing w:line="259" w:lineRule="auto" w:before="114" w:after="0"/>
        <w:ind w:left="704" w:right="1296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Failure to maintain devotion to duties and being unbecoming of a </w:t>
      </w:r>
      <w:r>
        <w:rPr>
          <w:rFonts w:ascii="Verdana" w:hAnsi="Verdana" w:eastAsia="Verdana"/>
          <w:b w:val="0"/>
          <w:i w:val="0"/>
          <w:color w:val="333333"/>
          <w:sz w:val="22"/>
        </w:rPr>
        <w:t>Government Servant</w:t>
      </w:r>
    </w:p>
    <w:p>
      <w:pPr>
        <w:sectPr>
          <w:pgSz w:w="11906" w:h="16838"/>
          <w:pgMar w:top="700" w:right="1226" w:bottom="662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6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Key evidence includes letters from IBM and the Government of Arunachal Pradesh,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emails from Shri Tardia, and clarifications from IBM. The findings of the inquiry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officer indicate that Shri Tardia's actions were in violation of the MMDR Act and CCS </w:t>
      </w:r>
      <w:r>
        <w:rPr>
          <w:rFonts w:ascii="Verdana" w:hAnsi="Verdana" w:eastAsia="Verdana"/>
          <w:b w:val="0"/>
          <w:i w:val="0"/>
          <w:color w:val="333333"/>
          <w:sz w:val="22"/>
        </w:rPr>
        <w:t>Conduct Rules.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64" w:lineRule="auto" w:before="252" w:after="320"/>
        <w:ind w:left="0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Shri K.K. Tardia contended that Section 5(2)(b) of the MMDR Act, 1957 is not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applicable to Graphite mineral, which is considered misconceived and wrong. He </w:t>
      </w:r>
      <w:r>
        <w:rPr>
          <w:rFonts w:ascii="Verdana" w:hAnsi="Verdana" w:eastAsia="Verdana"/>
          <w:b w:val="0"/>
          <w:i w:val="0"/>
          <w:color w:val="333333"/>
          <w:sz w:val="22"/>
        </w:rPr>
        <w:t>also argued that he was not aware of the specific legal requirements.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The final outcome of the case is pending.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