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Clarification on Approval of Mining Plans in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Arunachal Pradesh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28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The document does not specify the name or designation of 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69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charged officer.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4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Regional Controller of Mines sought clarification on the approval of five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plans for graphite mineral in Arunachal Pradesh. The lease deeds were executed </w:t>
      </w:r>
      <w:r>
        <w:rPr>
          <w:rFonts w:ascii="Verdana" w:hAnsi="Verdana" w:eastAsia="Verdana"/>
          <w:b w:val="0"/>
          <w:i w:val="0"/>
          <w:color w:val="333333"/>
          <w:sz w:val="22"/>
        </w:rPr>
        <w:t>before the provisional approval of the mining plans, violating the legal requirements.</w:t>
      </w:r>
    </w:p>
    <w:p>
      <w:pPr>
        <w:autoSpaceDN w:val="0"/>
        <w:autoSpaceDE w:val="0"/>
        <w:widowControl/>
        <w:spacing w:line="259" w:lineRule="auto" w:before="40" w:after="320"/>
        <w:ind w:left="0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Chief Controller of Mines advised immediate remedial action to align with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MMDR Act and rules.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This document addresses the clarification on the approval of five mining plans for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graphite mineral in Arunachal Pradesh. The Regional Controller of Mines sought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clarification on the approval process, which was found to be in contravention of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Mines and Minerals (Development and Regulation) Act, 1957 (MMDR Act) and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Minerals (other than Atomic and Hydrocarbons Energy Minerals) Concession Rules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2016. The lease deeds were executed before the provisional approval of the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plans, violating the legal requirements. The Chief Controller of Mines advised </w:t>
      </w:r>
      <w:r>
        <w:rPr>
          <w:rFonts w:ascii="Verdana" w:hAnsi="Verdana" w:eastAsia="Verdana"/>
          <w:b w:val="0"/>
          <w:i w:val="0"/>
          <w:color w:val="333333"/>
          <w:sz w:val="22"/>
        </w:rPr>
        <w:t>immediate remedial action to align with the MMDR Act and rules.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2" w:after="0"/>
        <w:ind w:left="704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Lease deeds were executed before the provisional approval of the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>plans.</w:t>
      </w:r>
    </w:p>
    <w:p>
      <w:pPr>
        <w:autoSpaceDN w:val="0"/>
        <w:autoSpaceDE w:val="0"/>
        <w:widowControl/>
        <w:spacing w:line="264" w:lineRule="auto" w:before="116" w:after="0"/>
        <w:ind w:left="900" w:right="288" w:hanging="196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Violations of the Mines and Minerals (Development and Regulation) Act,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1957 (MMDR Act) and the Minerals (other than Atomic and Hydrocarbons </w:t>
      </w:r>
      <w:r>
        <w:rPr>
          <w:rFonts w:ascii="Verdana" w:hAnsi="Verdana" w:eastAsia="Verdana"/>
          <w:b w:val="0"/>
          <w:i w:val="0"/>
          <w:color w:val="333333"/>
          <w:sz w:val="22"/>
        </w:rPr>
        <w:t>Energy Minerals) Concession Rules 2016.</w:t>
      </w:r>
    </w:p>
    <w:p>
      <w:pPr>
        <w:sectPr>
          <w:pgSz w:w="11906" w:h="16838"/>
          <w:pgMar w:top="700" w:right="1226" w:bottom="1356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71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attached copies of executed lease deeds and the email dated 29.11.2021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provided evidence of the execution dates of the lease deeds before the provisional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approval of the mining plans. The Chief Controller of Mines found that the lease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deeds were executed in contravention of section 5(2)(b) of the MMDR Act 1957 and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Rule 7(10) of the Minerals (other than Atomic and Hydrocarbons Energy Minerals) </w:t>
      </w:r>
      <w:r>
        <w:rPr>
          <w:rFonts w:ascii="Verdana" w:hAnsi="Verdana" w:eastAsia="Verdana"/>
          <w:b w:val="0"/>
          <w:i w:val="0"/>
          <w:color w:val="333333"/>
          <w:sz w:val="22"/>
        </w:rPr>
        <w:t>Concession Rules 2016.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64" w:lineRule="auto" w:before="252" w:after="0"/>
        <w:ind w:left="0" w:right="72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Chief Controller of Mines advised the Regional Controller of Mines to take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immediate remedial action in accordance with the MMDR Act and rules made </w:t>
      </w:r>
      <w:r>
        <w:rPr>
          <w:rFonts w:ascii="Verdana" w:hAnsi="Verdana" w:eastAsia="Verdana"/>
          <w:b w:val="0"/>
          <w:i w:val="0"/>
          <w:color w:val="333333"/>
          <w:sz w:val="22"/>
        </w:rPr>
        <w:t>thereunder.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