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Officer for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Contravention of Mining Regulations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Officer involved in executing lease deeds for graphite mining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areas.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officer executed lease deeds for five graphite mining areas before obtaining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provisional approval of mining plans, which is in contravention of the MMDR Act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1957. The rights of existing concession holders under Section 10A(2)(b) have lapsed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with effect from 28.03.2021. No mining lease can be granted to provisional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lease holders/LOI holders after this date. Clarifications were submitted by RCOM,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IBM, and Guwahati on 29.11.2021 and 30.11.2021, and provisional approval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plans was given on dates ranging from 19.5.2021 to 20.5.2021, with final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approval given on dates ranging from 12.8.2021 to 17.8.2021.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disciplinary proceedings against an officer for executing lease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deeds for five graphite mining areas before obtaining provisional approval of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plans, which is in contravention of the MMDR Act 1957. Key procedural steps include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effective date of lapsing of rights to obtain a Mining Lease after the MMDR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(Amendment) Act-2021 came into force on 28.03.2021, and a circular from CCOM </w:t>
      </w:r>
      <w:r>
        <w:rPr>
          <w:rFonts w:ascii="Verdana" w:hAnsi="Verdana" w:eastAsia="Verdana"/>
          <w:b w:val="0"/>
          <w:i w:val="0"/>
          <w:color w:val="333333"/>
          <w:sz w:val="22"/>
        </w:rPr>
        <w:t>advising to revoke approved mining plans that became invalid after the Act.</w:t>
      </w:r>
    </w:p>
    <w:p>
      <w:pPr>
        <w:autoSpaceDN w:val="0"/>
        <w:autoSpaceDE w:val="0"/>
        <w:widowControl/>
        <w:spacing w:line="266" w:lineRule="auto" w:before="40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Clarifications were submitted by RCOM, IBM, and Guwahati on 29.11.2021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30.11.2021, and provisional approval of mining plans was given on dates ranging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from 19.5.2021 to 20.5.2021, with final approval given on dates ranging from </w:t>
      </w:r>
      <w:r>
        <w:rPr>
          <w:rFonts w:ascii="Verdana" w:hAnsi="Verdana" w:eastAsia="Verdana"/>
          <w:b w:val="0"/>
          <w:i w:val="0"/>
          <w:color w:val="333333"/>
          <w:sz w:val="22"/>
        </w:rPr>
        <w:t>12.8.2021 to 17.8.2021.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Executing lease deeds for graphite mining areas before obtaining provisional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approval of mining plans.</w:t>
      </w:r>
    </w:p>
    <w:p>
      <w:pPr>
        <w:autoSpaceDN w:val="0"/>
        <w:autoSpaceDE w:val="0"/>
        <w:widowControl/>
        <w:spacing w:line="240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Contravention of the MMDR Act 1957.</w:t>
      </w:r>
    </w:p>
    <w:p>
      <w:pPr>
        <w:sectPr>
          <w:pgSz w:w="11906" w:h="16838"/>
          <w:pgMar w:top="700" w:right="1226" w:bottom="894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4" w:lineRule="auto" w:before="254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lease deeds for five graphite mining areas executed before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provisional approval of mining plans, and clarifications submitted by RCOM, IBM, </w:t>
      </w:r>
      <w:r>
        <w:rPr>
          <w:rFonts w:ascii="Verdana" w:hAnsi="Verdana" w:eastAsia="Verdana"/>
          <w:b w:val="0"/>
          <w:i w:val="0"/>
          <w:color w:val="333333"/>
          <w:sz w:val="22"/>
        </w:rPr>
        <w:t>and Guwahati on 29.11.2021 and 30.11.2021.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final outcome or current status of the case is not explicitly mentioned in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provided text.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