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an Unknown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Officer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None provided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officer is accused of approving mining plans for five graphite blocks in violation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the MMDR Act. The Disciplinary Authority tentatively disagreed with the Report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Inquiry Authority. The officer submitted a written representation within 15 days.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approved mining plans were revoked on 07.01.2022, and court challenges were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initiated on the same date. A representation was submitted on 30.01.2023, and a </w:t>
      </w:r>
      <w:r>
        <w:rPr>
          <w:rFonts w:ascii="Verdana" w:hAnsi="Verdana" w:eastAsia="Verdana"/>
          <w:b w:val="0"/>
          <w:i w:val="0"/>
          <w:color w:val="333333"/>
          <w:sz w:val="22"/>
        </w:rPr>
        <w:t>judgment was issued on 26 September, 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6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disciplinary proceedings against an unnamed officer for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alleged misconduct. The officer is accused of approving mining plans for five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graphite blocks in violation of the MMDR Act, failing to maintain devotion to duties,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behaving unbecoming of a government servant. Key evidence includes a circular </w:t>
      </w:r>
      <w:r>
        <w:rPr>
          <w:rFonts w:ascii="Verdana" w:hAnsi="Verdana" w:eastAsia="Verdana"/>
          <w:b w:val="0"/>
          <w:i w:val="0"/>
          <w:color w:val="333333"/>
          <w:sz w:val="22"/>
        </w:rPr>
        <w:t>dated 13.04.2021 and court judgments under section 10A(2)(c) of the MMDR Act.</w:t>
      </w:r>
    </w:p>
    <w:p>
      <w:pPr>
        <w:autoSpaceDN w:val="0"/>
        <w:autoSpaceDE w:val="0"/>
        <w:widowControl/>
        <w:spacing w:line="269" w:lineRule="auto" w:before="40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Important procedural steps and dates include a tentative disagreement by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Disciplinary Authority (DA) with the Report of Inquiry Authority (IA), a revocation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approved mining plans on 07.01.2022, and court challenges on the same date.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document also mentions a representation dated 30.01.2023 and a judgment dated </w:t>
      </w:r>
      <w:r>
        <w:rPr>
          <w:rFonts w:ascii="Verdana" w:hAnsi="Verdana" w:eastAsia="Verdana"/>
          <w:b w:val="0"/>
          <w:i w:val="0"/>
          <w:color w:val="333333"/>
          <w:sz w:val="22"/>
        </w:rPr>
        <w:t>26 September, 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0"/>
        <w:ind w:left="704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of five graphite blocks against the provisions of </w:t>
      </w:r>
      <w:r>
        <w:rPr>
          <w:rFonts w:ascii="Verdana" w:hAnsi="Verdana" w:eastAsia="Verdana"/>
          <w:b w:val="0"/>
          <w:i w:val="0"/>
          <w:color w:val="333333"/>
          <w:sz w:val="22"/>
        </w:rPr>
        <w:t>MMDR Act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Failure to maintain devotion to duties</w:t>
      </w:r>
    </w:p>
    <w:p>
      <w:pPr>
        <w:autoSpaceDN w:val="0"/>
        <w:autoSpaceDE w:val="0"/>
        <w:widowControl/>
        <w:spacing w:line="240" w:lineRule="auto" w:before="114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Behaving unbecoming of a Government servant</w:t>
      </w:r>
    </w:p>
    <w:p>
      <w:pPr>
        <w:sectPr>
          <w:pgSz w:w="11906" w:h="16838"/>
          <w:pgMar w:top="700" w:right="1226" w:bottom="1166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4" w:lineRule="auto" w:before="254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a circular dated 13.04.2021, court judgments, and previous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cases under section 10A(2)(c) of the MMDR Act. The Inquiry Authority found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officer guilty of the charges.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