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8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Verdana" w:hAnsi="Verdana" w:eastAsia="Verdana"/>
          <w:b/>
          <w:i w:val="0"/>
          <w:color w:val="003366"/>
          <w:sz w:val="36"/>
          <w:u w:val="single"/>
        </w:rPr>
        <w:t>Disciplinary Proceedings Against Shri K.K.</w:t>
      </w:r>
    </w:p>
    <w:p>
      <w:pPr>
        <w:autoSpaceDN w:val="0"/>
        <w:autoSpaceDE w:val="0"/>
        <w:widowControl/>
        <w:spacing w:line="240" w:lineRule="auto" w:before="68" w:after="334"/>
        <w:ind w:left="0" w:right="0" w:firstLine="0"/>
        <w:jc w:val="center"/>
      </w:pPr>
      <w:r>
        <w:rPr>
          <w:rFonts w:ascii="Verdana" w:hAnsi="Verdana" w:eastAsia="Verdana"/>
          <w:b/>
          <w:i w:val="0"/>
          <w:color w:val="003366"/>
          <w:sz w:val="36"/>
          <w:u w:val="single"/>
        </w:rPr>
        <w:t>Tardia, Regional Controller of Mines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820"/>
        </w:trPr>
        <w:tc>
          <w:tcPr>
            <w:tcW w:type="dxa" w:w="9416"/>
            <w:tcBorders/>
            <w:shd w:fill="dddd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6" w:after="0"/>
              <w:ind w:left="166" w:right="0" w:firstLine="0"/>
              <w:jc w:val="left"/>
            </w:pPr>
            <w:r>
              <w:rPr>
                <w:w w:val="98.99526742788461"/>
                <w:rFonts w:ascii="Verdana" w:hAnsi="Verdana" w:eastAsia="Verdana"/>
                <w:b/>
                <w:i w:val="0"/>
                <w:color w:val="333333"/>
                <w:sz w:val="26"/>
              </w:rPr>
              <w:t>Charged Officer Details</w:t>
            </w:r>
          </w:p>
        </w:tc>
      </w:tr>
    </w:tbl>
    <w:p>
      <w:pPr>
        <w:autoSpaceDN w:val="0"/>
        <w:autoSpaceDE w:val="0"/>
        <w:widowControl/>
        <w:spacing w:line="1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386"/>
        </w:trPr>
        <w:tc>
          <w:tcPr>
            <w:tcW w:type="dxa" w:w="9416"/>
            <w:tcBorders/>
            <w:shd w:fill="dddd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68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• </w:t>
            </w:r>
            <w:r>
              <w:rPr>
                <w:rFonts w:ascii="Verdana" w:hAnsi="Verdana" w:eastAsia="Verdana"/>
                <w:b/>
                <w:i w:val="0"/>
                <w:color w:val="333333"/>
                <w:sz w:val="22"/>
              </w:rPr>
              <w:t>Name:</w:t>
            </w: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 Shri K.K. Tardia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1114"/>
        </w:trPr>
        <w:tc>
          <w:tcPr>
            <w:tcW w:type="dxa" w:w="9416"/>
            <w:tcBorders/>
            <w:shd w:fill="dddd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868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• </w:t>
            </w:r>
            <w:r>
              <w:rPr>
                <w:rFonts w:ascii="Verdana" w:hAnsi="Verdana" w:eastAsia="Verdana"/>
                <w:b/>
                <w:i w:val="0"/>
                <w:color w:val="333333"/>
                <w:sz w:val="22"/>
              </w:rPr>
              <w:t>Designation:</w:t>
            </w: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 Regional Controller of Mines</w:t>
            </w:r>
          </w:p>
          <w:p>
            <w:pPr>
              <w:autoSpaceDN w:val="0"/>
              <w:autoSpaceDE w:val="0"/>
              <w:widowControl/>
              <w:spacing w:line="240" w:lineRule="auto" w:before="114" w:after="0"/>
              <w:ind w:left="868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• </w:t>
            </w:r>
            <w:r>
              <w:rPr>
                <w:rFonts w:ascii="Verdana" w:hAnsi="Verdana" w:eastAsia="Verdana"/>
                <w:b/>
                <w:i w:val="0"/>
                <w:color w:val="333333"/>
                <w:sz w:val="22"/>
              </w:rPr>
              <w:t>Details:</w:t>
            </w: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 Indian Bureau of Mines, Guwahati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782"/>
        </w:trPr>
        <w:tc>
          <w:tcPr>
            <w:tcW w:type="dxa" w:w="94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9416"/>
            </w:tblGrid>
            <w:tr>
              <w:trPr>
                <w:trHeight w:hRule="exact" w:val="462"/>
              </w:trPr>
              <w:tc>
                <w:tcPr>
                  <w:tcW w:type="dxa" w:w="9416"/>
                  <w:tcBorders/>
                  <w:shd w:fill="ccccc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6" w:after="0"/>
                    <w:ind w:left="0" w:right="0" w:firstLine="0"/>
                    <w:jc w:val="left"/>
                  </w:pPr>
                  <w:r>
                    <w:rPr>
                      <w:rFonts w:ascii="Verdana" w:hAnsi="Verdana" w:eastAsia="Verdana"/>
                      <w:b/>
                      <w:i w:val="0"/>
                      <w:color w:val="333333"/>
                      <w:sz w:val="28"/>
                    </w:rPr>
                    <w:t>Background &amp; Chronology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71" w:lineRule="auto" w:before="252" w:after="320"/>
        <w:ind w:left="0" w:right="144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The background of the case begins with a letter dated 09.04.2021 from the Indian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Bureau of Mines. This is followed by a series of letters and documents submitted by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various government entities, including the Deputy Secretary (Geology &amp; Mining),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Govt. of Arunachal Pradesh, and the Chief Controller of Mines, Indian Bureau of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Mines. The timeline of events concludes with a letter dated 31.12.2021 from Shri </w:t>
      </w:r>
      <w:r>
        <w:rPr>
          <w:rFonts w:ascii="Verdana" w:hAnsi="Verdana" w:eastAsia="Verdana"/>
          <w:b w:val="0"/>
          <w:i w:val="0"/>
          <w:color w:val="333333"/>
          <w:sz w:val="22"/>
        </w:rPr>
        <w:t>K.K. Tardia.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Executive Summary</w:t>
            </w:r>
          </w:p>
        </w:tc>
      </w:tr>
    </w:tbl>
    <w:p>
      <w:pPr>
        <w:autoSpaceDN w:val="0"/>
        <w:autoSpaceDE w:val="0"/>
        <w:widowControl/>
        <w:spacing w:line="271" w:lineRule="auto" w:before="252" w:after="320"/>
        <w:ind w:left="0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The document outlines the disciplinary proceedings against Shri K.K. Tardia, </w:t>
      </w:r>
      <w:r>
        <w:br/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Regional Controller of Mines, Indian Bureau of Mines, Guwahati. The case involves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allegations of misconduct related to the approval of five mining plans for graphite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minerals in the state of Arunachal Pradesh. The proceedings are based on a series of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letters and documents submitted by various government entities. The timeline of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events begins with a letter dated 09.04.2021 and continues through December </w:t>
      </w:r>
      <w:r>
        <w:rPr>
          <w:rFonts w:ascii="Verdana" w:hAnsi="Verdana" w:eastAsia="Verdana"/>
          <w:b w:val="0"/>
          <w:i w:val="0"/>
          <w:color w:val="333333"/>
          <w:sz w:val="22"/>
        </w:rPr>
        <w:t>2021. The specific charges and findings are not detailed in the provided text.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Key Allegations</w:t>
            </w:r>
          </w:p>
        </w:tc>
      </w:tr>
    </w:tbl>
    <w:p>
      <w:pPr>
        <w:autoSpaceDN w:val="0"/>
        <w:autoSpaceDE w:val="0"/>
        <w:widowControl/>
        <w:spacing w:line="240" w:lineRule="auto" w:before="252" w:after="320"/>
        <w:ind w:left="704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• </w:t>
      </w:r>
      <w:r>
        <w:rPr>
          <w:rFonts w:ascii="Verdana" w:hAnsi="Verdana" w:eastAsia="Verdana"/>
          <w:b w:val="0"/>
          <w:i w:val="0"/>
          <w:color w:val="333333"/>
          <w:sz w:val="22"/>
        </w:rPr>
        <w:t>Approval of five mining plans for graphite minerals in Arunachal Pradesh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Evidence &amp; Findings</w:t>
            </w:r>
          </w:p>
        </w:tc>
      </w:tr>
    </w:tbl>
    <w:p>
      <w:pPr>
        <w:autoSpaceDN w:val="0"/>
        <w:autoSpaceDE w:val="0"/>
        <w:widowControl/>
        <w:spacing w:line="264" w:lineRule="auto" w:before="254" w:after="0"/>
        <w:ind w:left="0" w:right="432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The evidence presented includes a series of letters and documents submitted by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various government entities. The specific findings of the inquiry officer are not </w:t>
      </w:r>
      <w:r>
        <w:rPr>
          <w:rFonts w:ascii="Verdana" w:hAnsi="Verdana" w:eastAsia="Verdana"/>
          <w:b w:val="0"/>
          <w:i w:val="0"/>
          <w:color w:val="333333"/>
          <w:sz w:val="22"/>
        </w:rPr>
        <w:t>detailed in the provided text.</w:t>
      </w:r>
    </w:p>
    <w:p>
      <w:pPr>
        <w:sectPr>
          <w:pgSz w:w="11906" w:h="16838"/>
          <w:pgMar w:top="700" w:right="1226" w:bottom="1196" w:left="124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Defense Arguments</w:t>
            </w:r>
          </w:p>
        </w:tc>
      </w:tr>
    </w:tbl>
    <w:p>
      <w:pPr>
        <w:autoSpaceDN w:val="0"/>
        <w:autoSpaceDE w:val="0"/>
        <w:widowControl/>
        <w:spacing w:line="240" w:lineRule="auto" w:before="254" w:after="320"/>
        <w:ind w:left="0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>Defense arguments not included in this document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Conclusion/Status</w:t>
            </w:r>
          </w:p>
        </w:tc>
      </w:tr>
    </w:tbl>
    <w:p>
      <w:pPr>
        <w:autoSpaceDN w:val="0"/>
        <w:autoSpaceDE w:val="0"/>
        <w:widowControl/>
        <w:spacing w:line="240" w:lineRule="auto" w:before="252" w:after="0"/>
        <w:ind w:left="0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>The final outcome or current status of the case is not detailed in the provided text.</w:t>
      </w:r>
    </w:p>
    <w:sectPr w:rsidR="00FC693F" w:rsidRPr="0006063C" w:rsidSect="00034616">
      <w:pgSz w:w="11906" w:h="16838"/>
      <w:pgMar w:top="562" w:right="1226" w:bottom="1440" w:left="124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