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 for Approval of Mining Plans in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Contravention of MMDR Act, 1957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3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Not explicitly mentioned in the provided text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Tardia, Regional Controller of Mines in Guwahati, approved mining plans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for five graphite mining leases in contravention of the MMDR Act, 1957 and Rules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made thereunder. The key procedural steps include a memorandum proposing an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inquiry dated 21.02.2022, a deadline for submitting a written statement of defense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within 15 days of receipt of the memorandum, and an amendment to the MMDR Act, </w:t>
      </w:r>
      <w:r>
        <w:rPr>
          <w:rFonts w:ascii="Verdana" w:hAnsi="Verdana" w:eastAsia="Verdana"/>
          <w:b w:val="0"/>
          <w:i w:val="0"/>
          <w:color w:val="333333"/>
          <w:sz w:val="22"/>
        </w:rPr>
        <w:t>1957 published on 28th March 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Tardia, Regional Controller of Mines in Guwahati, is under disciplinary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proceedings for approving mining plans for five graphite mining leases in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contravention of the Mines and Minerals (Development and Regulation) Act, 1957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(MMDR Act, 1957) and Rules made thereunder. The key allegations include acting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against the provisions of the MMDR Act, misinterpreting the applicability of Section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5(2)(b) of the MMDR Act to Graphite, and disobeying directives of higher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authorities. The case involves significant procedural steps, including a memorandum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proposing an inquiry, a deadline for submitting a written statement of defense,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 amendment to the MMDR Act, 1957. Key evidence includes approval of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plans, emails, and letters justifying the actions. The final outcome or status of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case is not explicitly mentioned in the provided 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Acting against the provisions of the MMDR Act, 1957 by approving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>plans for five cases of Graphite leases.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Misinterpreting the applicability of Section 5(2)(b) of the MMDR Act, 1957 to </w:t>
      </w:r>
      <w:r>
        <w:rPr>
          <w:rFonts w:ascii="Verdana" w:hAnsi="Verdana" w:eastAsia="Verdana"/>
          <w:b w:val="0"/>
          <w:i w:val="0"/>
          <w:color w:val="333333"/>
          <w:sz w:val="22"/>
        </w:rPr>
        <w:t>Graphite.</w:t>
      </w:r>
    </w:p>
    <w:p>
      <w:pPr>
        <w:sectPr>
          <w:pgSz w:w="11906" w:h="16838"/>
          <w:pgMar w:top="700" w:right="1226" w:bottom="79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tabs>
          <w:tab w:pos="900" w:val="left"/>
        </w:tabs>
        <w:autoSpaceDE w:val="0"/>
        <w:widowControl/>
        <w:spacing w:line="257" w:lineRule="auto" w:before="0" w:after="320"/>
        <w:ind w:left="704" w:right="72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Disobeying directives of higher authorities and failing to take remedial </w:t>
      </w:r>
      <w:r>
        <w:rPr>
          <w:rFonts w:ascii="Verdana" w:hAnsi="Verdana" w:eastAsia="Verdana"/>
          <w:b w:val="0"/>
          <w:i w:val="0"/>
          <w:color w:val="333333"/>
          <w:sz w:val="22"/>
        </w:rPr>
        <w:t>measures.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4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the approval of mining plans for five graphite mining leases,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 email dated 29.11.2021 stating that Section 5(2)(b) of the MMDR Act, 1957 is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not applicable to Graphite, and a letter dated 31.12.2021 justifying the act of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approving mining plans.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final outcome or current status of the case is not explicitly mentioned in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provided text.</w:t>
      </w:r>
    </w:p>
    <w:sectPr w:rsidR="00FC693F" w:rsidRPr="0006063C" w:rsidSect="00034616">
      <w:pgSz w:w="11906" w:h="16838"/>
      <w:pgMar w:top="57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