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Disciplinary Proceedings Against Shri K.K.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Tardia, RCOM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Shri K.K. Tardia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1114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Regional Controller of Mines, Nagpur</w:t>
            </w:r>
          </w:p>
          <w:p>
            <w:pPr>
              <w:autoSpaceDN w:val="0"/>
              <w:autoSpaceDE w:val="0"/>
              <w:widowControl/>
              <w:spacing w:line="240" w:lineRule="auto" w:before="114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RCOM Guwahati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4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proceedings were initiated following the issuance of advisory letters by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Ministry of Mines on 09.04.2021 and 13.04.2021. These letters clarified that cases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under the saved clause of erstwhile section 10A(2)(b) of the MMDR Act should not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be processed. Despite these clear instructions, RCOM Guwahati approved mining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plans in May and August 2021. The Ministry of Mines enquired about these </w:t>
      </w:r>
      <w:r>
        <w:br/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approvals on 29.11.2021, and RCOM Guwahati provided clarifications. However,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Ministry found these approvals to be in contravention of the MMDR Act and issued a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letter on 30.11.2021 advising remedial action. The Ministry approved a suspension </w:t>
      </w:r>
      <w:r>
        <w:rPr>
          <w:rFonts w:ascii="Verdana" w:hAnsi="Verdana" w:eastAsia="Verdana"/>
          <w:b w:val="0"/>
          <w:i w:val="0"/>
          <w:color w:val="333333"/>
          <w:sz w:val="22"/>
        </w:rPr>
        <w:t>order on 15.12.2021.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4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document outlines disciplinary proceedings against Shri K.K. Tardia, RCOM, for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alleged violations of the Mines and Minerals (Development and Regulation) Act 1957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(MMDR Act). The proceedings were held on multiple dates from June to September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2022. The key allegations include approving mining plans in contravention of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MMDR Act, causing financial loss to the exchequer. The background and chronology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detail the issuance of advisory letters by the Ministry of Mines and the subsequent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approval of mining plans by RCOM Guwahati. The evidence and findings section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highlights the lack of compliance with the advisory letters and the subsequent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suspension order issued by the Ministry. The defense arguments are limited to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officer's claim of not receiving a reply to his emails and the lack of clear instructions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for remedial action. The conclusion status indicates the suspension order approved </w:t>
      </w:r>
      <w:r>
        <w:rPr>
          <w:rFonts w:ascii="Verdana" w:hAnsi="Verdana" w:eastAsia="Verdana"/>
          <w:b w:val="0"/>
          <w:i w:val="0"/>
          <w:color w:val="333333"/>
          <w:sz w:val="22"/>
        </w:rPr>
        <w:t>by the Ministry.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Approving mining plans in contravention of the MMDR Act</w:t>
      </w:r>
    </w:p>
    <w:p>
      <w:pPr>
        <w:autoSpaceDN w:val="0"/>
        <w:tabs>
          <w:tab w:pos="900" w:val="left"/>
        </w:tabs>
        <w:autoSpaceDE w:val="0"/>
        <w:widowControl/>
        <w:spacing w:line="259" w:lineRule="auto" w:before="116" w:after="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Causing financial loss to the exchequer by approving mining plans that were </w:t>
      </w:r>
      <w:r>
        <w:rPr>
          <w:rFonts w:ascii="Verdana" w:hAnsi="Verdana" w:eastAsia="Verdana"/>
          <w:b w:val="0"/>
          <w:i w:val="0"/>
          <w:color w:val="333333"/>
          <w:sz w:val="22"/>
        </w:rPr>
        <w:t>not compliant with the law</w:t>
      </w:r>
    </w:p>
    <w:p>
      <w:pPr>
        <w:sectPr>
          <w:pgSz w:w="11906" w:h="16838"/>
          <w:pgMar w:top="700" w:right="1226" w:bottom="586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69" w:lineRule="auto" w:before="254" w:after="320"/>
        <w:ind w:left="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evidence includes advisory letters from the Ministry of Mines dated 09.04.2021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and 13.04.2021, clarifications provided by RCOM Guwahati, and a letter from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Chief Controller of Mines dated 30.11.2021 advising remedial action. The findings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indicate that the approvals were in contravention of the MMDR Act and that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officer failed to comply with the advisory letters.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66" w:lineRule="auto" w:before="252" w:after="320"/>
        <w:ind w:left="0" w:right="288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defense arguments are limited to the officer's claim of not receiving a reply to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his emails and the lack of clear instructions for remedial action. The officer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maintained that the advisory letters did not provide clear instructions for remedial </w:t>
      </w:r>
      <w:r>
        <w:rPr>
          <w:rFonts w:ascii="Verdana" w:hAnsi="Verdana" w:eastAsia="Verdana"/>
          <w:b w:val="0"/>
          <w:i w:val="0"/>
          <w:color w:val="333333"/>
          <w:sz w:val="22"/>
        </w:rPr>
        <w:t>action.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The Ministry approved a suspension order on 15.12.2021.</w:t>
      </w:r>
    </w:p>
    <w:sectPr w:rsidR="00FC693F" w:rsidRPr="0006063C" w:rsidSect="00034616">
      <w:pgSz w:w="11906" w:h="16838"/>
      <w:pgMar w:top="56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