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Proceedings Against Officer for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Violation of Mining Regulations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Unknown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28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Unknown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Officer involved in executing and registering five Graphite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69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>Mineral mining lease deeds.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background involves the lapsing of rights for existing concession holders under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Section 10A(2)(b) of the MMDR (Amendment) Act-2021, effective from 28.03.2021.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officer executed and registered five Graphite Mineral mining lease deeds before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this date. Important procedural steps include a CCOM circular on 13.04.2021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advising to revoke approved mining plans that became invalid post the Act's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implementation. The Mining Plans were provisionally approved on dates ranging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from 19.5.2021 to 20.5.2021 and finally approved on dates ranging from 12.8.2021 </w:t>
      </w:r>
      <w:r>
        <w:rPr>
          <w:rFonts w:ascii="Verdana" w:hAnsi="Verdana" w:eastAsia="Verdana"/>
          <w:b w:val="0"/>
          <w:i w:val="0"/>
          <w:color w:val="333333"/>
          <w:sz w:val="22"/>
        </w:rPr>
        <w:t>to 17.8.2021.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disciplinary proceedings against an officer for alleged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violations of mining regulations in Arunachal Pradesh. The officer is accused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executing and registering five Graphite Mineral mining lease deeds before the MMDR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(Amendment) Act-2021 came into force on 28.03.2021. Key procedural steps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include a CCOM circular on 13.04.2021 advising to revoke approved mining plans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that became invalid post the Act's implementation. The Mining Plans were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provisionally approved on dates ranging from 19.5.2021 to 20.5.2021 and finally </w:t>
      </w:r>
      <w:r>
        <w:rPr>
          <w:rFonts w:ascii="Verdana" w:hAnsi="Verdana" w:eastAsia="Verdana"/>
          <w:b w:val="0"/>
          <w:i w:val="0"/>
          <w:color w:val="333333"/>
          <w:sz w:val="22"/>
        </w:rPr>
        <w:t>approved on dates ranging from 12.8.2021 to 17.8.2021.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tabs>
          <w:tab w:pos="900" w:val="left"/>
        </w:tabs>
        <w:autoSpaceDE w:val="0"/>
        <w:widowControl/>
        <w:spacing w:line="259" w:lineRule="auto" w:before="252" w:after="0"/>
        <w:ind w:left="704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Executing and registering five Graphite Mineral mining lease deeds before </w:t>
      </w:r>
      <w:r>
        <w:rPr>
          <w:rFonts w:ascii="Verdana" w:hAnsi="Verdana" w:eastAsia="Verdana"/>
          <w:b w:val="0"/>
          <w:i w:val="0"/>
          <w:color w:val="333333"/>
          <w:sz w:val="22"/>
        </w:rPr>
        <w:t>the MMDR (Amendment) Act-2021 came into force on 28.03.2021.</w:t>
      </w:r>
    </w:p>
    <w:p>
      <w:pPr>
        <w:autoSpaceDN w:val="0"/>
        <w:tabs>
          <w:tab w:pos="900" w:val="left"/>
        </w:tabs>
        <w:autoSpaceDE w:val="0"/>
        <w:widowControl/>
        <w:spacing w:line="259" w:lineRule="auto" w:before="116" w:after="0"/>
        <w:ind w:left="704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Violating the rights of existing concession holders under Section 10A(2)(b) </w:t>
      </w:r>
      <w:r>
        <w:rPr>
          <w:rFonts w:ascii="Verdana" w:hAnsi="Verdana" w:eastAsia="Verdana"/>
          <w:b w:val="0"/>
          <w:i w:val="0"/>
          <w:color w:val="333333"/>
          <w:sz w:val="22"/>
        </w:rPr>
        <w:t>of the MMDR (Amendment) Act-2021.</w:t>
      </w:r>
    </w:p>
    <w:p>
      <w:pPr>
        <w:sectPr>
          <w:pgSz w:w="11906" w:h="16838"/>
          <w:pgMar w:top="700" w:right="1226" w:bottom="1048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9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Key evidence includes the execution and registration of five Graphite Mineral mining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lease deeds before the MMDR (Amendment) Act-2021 came into force on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28.03.2021. The Mining Plans were provisionally approved on dates ranging from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19.5.2021 to 20.5.2021 and finally approved on dates ranging from 12.8.2021 to </w:t>
      </w:r>
      <w:r>
        <w:rPr>
          <w:rFonts w:ascii="Verdana" w:hAnsi="Verdana" w:eastAsia="Verdana"/>
          <w:b w:val="0"/>
          <w:i w:val="0"/>
          <w:color w:val="333333"/>
          <w:sz w:val="22"/>
        </w:rPr>
        <w:t>17.8.2021.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final outcome or current status of the case is not explicitly mentioned in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provided text.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