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p>
    <w:p>
      <w:pPr/>
      <w:r/>
    </w:p>
    <w:p>
      <w:pPr/>
      <w:r/>
    </w:p>
    <w:p>
      <w:pPr/>
      <w:r/>
    </w:p>
    <w:p>
      <w:pPr/>
      <w:r/>
    </w:p>
    <w:p>
      <w:pPr>
        <w:pStyle w:val="CoverTitle"/>
      </w:pPr>
      <w:r>
        <w:t>CASE STUDY</w:t>
      </w:r>
    </w:p>
    <w:p>
      <w:pPr/>
      <w:r/>
    </w:p>
    <w:p>
      <w:pPr>
        <w:pStyle w:val="CoverSub"/>
      </w:pPr>
      <w:r>
        <w:t>Designing a Transaction-Safe Supermarket POS System Using Service-Oriented Architecture in Laravel</w:t>
      </w:r>
    </w:p>
    <w:p>
      <w:pPr/>
      <w:r/>
    </w:p>
    <w:p>
      <w:pPr/>
      <w:r/>
    </w:p>
    <w:p>
      <w:pPr>
        <w:pStyle w:val="CoverSub"/>
      </w:pPr>
      <w:r>
        <w:t>Course: Systems Integration and Architecture (SIA)</w:t>
      </w:r>
    </w:p>
    <w:p>
      <w:pPr>
        <w:pStyle w:val="CoverSub"/>
      </w:pPr>
      <w:r>
        <w:t>Program: Bachelor of Science in Information Technology</w:t>
      </w:r>
    </w:p>
    <w:p>
      <w:pPr>
        <w:pStyle w:val="CoverSub"/>
      </w:pPr>
      <w:r>
        <w:t>Academic Year: 2026-2027</w:t>
      </w:r>
    </w:p>
    <w:p>
      <w:pPr/>
      <w:r/>
    </w:p>
    <w:p>
      <w:pPr/>
      <w:r/>
    </w:p>
    <w:p>
      <w:pPr>
        <w:pStyle w:val="CoverSub"/>
      </w:pPr>
      <w:r>
        <w:t>Prepared by:</w:t>
      </w:r>
    </w:p>
    <w:p>
      <w:pPr>
        <w:pStyle w:val="CoverSub"/>
      </w:pPr>
      <w:r>
        <w:t>Karl Athan Cardenas</w:t>
      </w:r>
    </w:p>
    <w:p>
      <w:pPr/>
      <w:r/>
    </w:p>
    <w:p>
      <w:pPr>
        <w:pStyle w:val="CoverSub"/>
      </w:pPr>
      <w:r>
        <w:t>Date: September 2026</w:t>
      </w:r>
    </w:p>
    <w:p>
      <w:r>
        <w:br w:type="page"/>
      </w:r>
    </w:p>
    <w:p>
      <w:pPr>
        <w:pStyle w:val="Heading1"/>
      </w:pPr>
      <w:r>
        <w:t>Table of Contents</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I. Introduction</w:t>
      </w:r>
    </w:p>
    <w:p>
      <w:r>
        <w:t>Point of Sale (POS) systems are the operational backbone of modern retail establishments. In the Philippine supermarket industry, cashiers process hundreds of transactions per shift, each involving multiple product scans, payment verification, promotional discount calculations, and inventory updates. A single software defect in this pipeline can result in financial loss through inventory shrinkage, incorrect pricing, or unaccounted cash.</w:t>
      </w:r>
    </w:p>
    <w:p>
      <w:r>
        <w:t>This case study examines the design, implementation, and architectural decisions behind an enterprise-grade supermarket POS system built as an academic project using the Laravel PHP framework. The study focuses on three critical engineering challenges: (1) ensuring transactional data integrity under concurrent access, (2) implementing a flexible but secure discount and coupon engine, and (3) designing a modular architecture that supports future integration with external enterprise systems.</w:t>
      </w:r>
    </w:p>
    <w:p>
      <w:r>
        <w:t>The system was developed over a five-week iterative cycle from August to September 2026 as part of the Systems Integration and Architecture (SIA) course. It targets small to medium-sized Philippine supermarkets operating between 2 and 15 checkout lanes, with plans for integration with Customer Relationship Management (CRM), Human Resource Management Systems (HRMS), and Procurement/Supply Chain Management modules developed by partner groups.</w:t>
      </w:r>
    </w:p>
    <w:p>
      <w:pPr>
        <w:pStyle w:val="Heading1"/>
      </w:pPr>
      <w:r>
        <w:t>II. Statement of the Problem</w:t>
      </w:r>
    </w:p>
    <w:p>
      <w:r>
        <w:t>The project team identified the following key engineering problems that the system must solve:</w:t>
      </w:r>
    </w:p>
    <w:p>
      <w:pPr>
        <w:pStyle w:val="ListNumber"/>
      </w:pPr>
      <w:r>
        <w:t>How can a web-based POS system guarantee that two cashiers processing simultaneous checkouts for the same product cannot both sell the last unit in stock (the double-sell problem)?</w:t>
      </w:r>
    </w:p>
    <w:p>
      <w:pPr>
        <w:pStyle w:val="ListNumber"/>
      </w:pPr>
      <w:r>
        <w:t>How can a promotion and coupon engine be designed to stack discounts deterministically without allowing the total to go below zero, while supporting four distinct promotion types (percentage, fixed, bundle, buy-X-get-Y)?</w:t>
      </w:r>
    </w:p>
    <w:p>
      <w:pPr>
        <w:pStyle w:val="ListNumber"/>
      </w:pPr>
      <w:r>
        <w:t>How can the system enforce a 7-day refund policy that allows manager override while maintaining a complete and immutable audit trail?</w:t>
      </w:r>
    </w:p>
    <w:p>
      <w:pPr>
        <w:pStyle w:val="ListNumber"/>
      </w:pPr>
      <w:r>
        <w:t>How can shift-based cash accountability be implemented so that every peso flowing through the register is tracked from drawer open to drawer close?</w:t>
      </w:r>
    </w:p>
    <w:p>
      <w:pPr>
        <w:pStyle w:val="ListNumber"/>
      </w:pPr>
      <w:r>
        <w:t>How can the application architecture be structured so that future integration with CRM, HRMS, and Procurement systems requires only additive changes (new controllers and API endpoints) rather than modification of core business logic?</w:t>
      </w:r>
    </w:p>
    <w:p>
      <w:r>
        <w:t>These problems represent real-world challenges faced by retail software teams. Each requires a combination of database engineering, application-layer design patterns, and careful API boundary specification.</w:t>
      </w:r>
    </w:p>
    <w:p>
      <w:pPr>
        <w:pStyle w:val="Heading1"/>
      </w:pPr>
      <w:r>
        <w:t>III. Methodology</w:t>
      </w:r>
    </w:p>
    <w:p>
      <w:r>
        <w:t>The project followed an iterative development methodology structured into five phases, each building upon the previous phase's deliverables:</w:t>
      </w:r>
    </w:p>
    <w:p>
      <w:r/>
    </w:p>
    <w:p>
      <w:r>
        <w:rPr>
          <w:b/>
        </w:rPr>
        <w:t>Phase 1: Foundation (August 2026, Weeks 1-2)</w:t>
      </w:r>
    </w:p>
    <w:p>
      <w:r>
        <w:t>Database schema design with 20+ tables covering products, categories, customers, suppliers, employees, sales, payments, receipts, inventory, and purchase orders. Demo data seeders were created to make the system immediately demoable. Basic CRUD operations were implemented for all resource entities. The initial POS checkout was implemented directly in the PosController, which later proved problematic as business logic accumulated.</w:t>
      </w:r>
    </w:p>
    <w:p>
      <w:r/>
    </w:p>
    <w:p>
      <w:r>
        <w:rPr>
          <w:b/>
        </w:rPr>
        <w:t>Phase 2: Core Business Logic (September 2026, Week 1)</w:t>
      </w:r>
    </w:p>
    <w:p>
      <w:r>
        <w:t>The RefundService was implemented as the first dedicated domain service, handling partial and full refunds with pro-rated discount reversal, a 7-day policy window with Manager override, inventory restoration, loyalty point reversal, and printable Credit Slips. The Reports module was added with CSV export capability. Barcode validation was tightened to enforce EAN-13 checksum integrity. The application timezone was corrected from UTC to Asia/Manila. Integration layer stubs were scaffolded for future CRM/HRMS/Procurement connectivity.</w:t>
      </w:r>
    </w:p>
    <w:p>
      <w:r/>
    </w:p>
    <w:p>
      <w:r>
        <w:rPr>
          <w:b/>
        </w:rPr>
        <w:t>Phase 3: Promotion Engine (September 2026, Week 2)</w:t>
      </w:r>
    </w:p>
    <w:p>
      <w:r>
        <w:t>The PromotionService was implemented as the single source of truth for all discount calculations. Four promotion types were built (percentage, fixed, bundle_price, buy_x_get_y) with deterministic stacking that guarantees the same inputs always produce the same discount total regardless of evaluation order. Coupon validation with minimum purchase thresholds, date windows, and redemption tracking was added. 46 dedicated tests were written for the promotion engine, bringing the total test suite to 90 tests.</w:t>
      </w:r>
    </w:p>
    <w:p>
      <w:r/>
    </w:p>
    <w:p>
      <w:r>
        <w:rPr>
          <w:b/>
        </w:rPr>
        <w:t>Phase 4: Checkout Architecture Refactor (September 2026, Week 3)</w:t>
      </w:r>
    </w:p>
    <w:p>
      <w:r>
        <w:t>The critical architectural refactor: extraction of CheckoutService from the 200+ line PosController::store() method. The POS controller was reduced to a thin validation-and-dispatch layer. The CashDrawerService was implemented for shift-based register accountability. Multi-method payment validation was added with mandatory Card authorization codes and E-Wallet transaction references. The UI received a system-wide modernization pass (dashboard KPI cards, customer loyalty badges, terminal-style login). The role model was simplified from three tiers (Admin/Manager/Cashier) to two (Manager/Cashier), merging Admin into Manager.</w:t>
      </w:r>
    </w:p>
    <w:p>
      <w:r/>
    </w:p>
    <w:p>
      <w:r>
        <w:rPr>
          <w:b/>
        </w:rPr>
        <w:t>Phase 5: Operational Polish (September 2026, Week 4)</w:t>
      </w:r>
    </w:p>
    <w:p>
      <w:r>
        <w:t>The final phase focused on real-world supermarket operational fidelity: global hardware barcode scanner support (keystroke buffer with &lt;120ms burst detection), procedural audio feedback via Web Audio API (no external sound files), cashier keyboard shortcuts (F2/F4/F8/Enter/Esc), category filter chips for unbarcoded items, live AJAX coupon preview, auto-receipt printing with continuous queue flow, and the 7-day refund policy notice printed on every receipt footer.</w:t>
      </w:r>
    </w:p>
    <w:p>
      <w:pPr>
        <w:pStyle w:val="Heading1"/>
      </w:pPr>
      <w:r>
        <w:t>IV. System Architecture Overview</w:t>
      </w:r>
    </w:p>
    <w:p>
      <w:r>
        <w:t>The system follows the Thin Controller / Heavy Service architectural pattern. Four core domain services encapsulate all business logic: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Responsibility</w:t>
            </w:r>
          </w:p>
        </w:tc>
        <w:tc>
          <w:tcPr>
            <w:tcW w:type="dxa" w:w="2880"/>
          </w:tcPr>
          <w:p>
            <w:r>
              <w:rPr>
                <w:b/>
              </w:rPr>
              <w:t>Key Design Pattern</w:t>
            </w:r>
          </w:p>
        </w:tc>
      </w:tr>
      <w:tr>
        <w:tc>
          <w:tcPr>
            <w:tcW w:type="dxa" w:w="2880"/>
          </w:tcPr>
          <w:p>
            <w:r>
              <w:t>CheckoutService</w:t>
            </w:r>
          </w:p>
        </w:tc>
        <w:tc>
          <w:tcPr>
            <w:tcW w:type="dxa" w:w="2880"/>
          </w:tcPr>
          <w:p>
            <w:r>
              <w:t>Atomic sale transaction: stock locking, payment recording, inventory adjustment, cash drawer credit, loyalty points, audit logging</w:t>
            </w:r>
          </w:p>
        </w:tc>
        <w:tc>
          <w:tcPr>
            <w:tcW w:type="dxa" w:w="2880"/>
          </w:tcPr>
          <w:p>
            <w:r>
              <w:t>Pessimistic locking via lockForUpdate() inside DB::transaction</w:t>
            </w:r>
          </w:p>
        </w:tc>
      </w:tr>
      <w:tr>
        <w:tc>
          <w:tcPr>
            <w:tcW w:type="dxa" w:w="2880"/>
          </w:tcPr>
          <w:p>
            <w:r>
              <w:t>PromotionService</w:t>
            </w:r>
          </w:p>
        </w:tc>
        <w:tc>
          <w:tcPr>
            <w:tcW w:type="dxa" w:w="2880"/>
          </w:tcPr>
          <w:p>
            <w:r>
              <w:t>Deterministic discount pipeline: auto-promotions, manual discounts, coupon validation, stacking cap at zero</w:t>
            </w:r>
          </w:p>
        </w:tc>
        <w:tc>
          <w:tcPr>
            <w:tcW w:type="dxa" w:w="2880"/>
          </w:tcPr>
          <w:p>
            <w:r>
              <w:t>Largest-first scoring with running remainder cap</w:t>
            </w:r>
          </w:p>
        </w:tc>
      </w:tr>
      <w:tr>
        <w:tc>
          <w:tcPr>
            <w:tcW w:type="dxa" w:w="2880"/>
          </w:tcPr>
          <w:p>
            <w:r>
              <w:t>RefundService</w:t>
            </w:r>
          </w:p>
        </w:tc>
        <w:tc>
          <w:tcPr>
            <w:tcW w:type="dxa" w:w="2880"/>
          </w:tcPr>
          <w:p>
            <w:r>
              <w:t>Policy-enforced refunds: 7-day window, Manager override, pro-rated reversal, inventory restoration, credit slips</w:t>
            </w:r>
          </w:p>
        </w:tc>
        <w:tc>
          <w:tcPr>
            <w:tcW w:type="dxa" w:w="2880"/>
          </w:tcPr>
          <w:p>
            <w:r>
              <w:t>Pro-rated paid ratio calculation (total/subtotal)</w:t>
            </w:r>
          </w:p>
        </w:tc>
      </w:tr>
      <w:tr>
        <w:tc>
          <w:tcPr>
            <w:tcW w:type="dxa" w:w="2880"/>
          </w:tcPr>
          <w:p>
            <w:r>
              <w:t>CashDrawerService</w:t>
            </w:r>
          </w:p>
        </w:tc>
        <w:tc>
          <w:tcPr>
            <w:tcW w:type="dxa" w:w="2880"/>
          </w:tcPr>
          <w:p>
            <w:r>
              <w:t>Register accountability: opening float, expected cash tracking, variance classification (Balanced/Shortage/Overage)</w:t>
            </w:r>
          </w:p>
        </w:tc>
        <w:tc>
          <w:tcPr>
            <w:tcW w:type="dxa" w:w="2880"/>
          </w:tcPr>
          <w:p>
            <w:r>
              <w:t>Automatic expected_cash increment within checkout transaction</w:t>
            </w:r>
          </w:p>
        </w:tc>
      </w:tr>
    </w:tbl>
    <w:p>
      <w:r>
        <w:t>Supporting services include InventoryService (stock adjustments and movement tracking) and AuditLogger (system-wide action recording). All services are injectable via Laravel's IoC container and are consumed by thin controllers that handle only HTTP validation and response rendering.</w:t>
      </w:r>
    </w:p>
    <w:p>
      <w:pPr>
        <w:pStyle w:val="Heading1"/>
      </w:pPr>
      <w:r>
        <w:t>V. Analysis and Discussion</w:t>
      </w:r>
    </w:p>
    <w:p>
      <w:r/>
    </w:p>
    <w:p>
      <w:pPr>
        <w:pStyle w:val="Heading2"/>
      </w:pPr>
      <w:r>
        <w:t>A. Solving the Double-Sell Problem with Pessimistic Locking</w:t>
      </w:r>
    </w:p>
    <w:p>
      <w:r>
        <w:t>The most critical data integrity challenge in a multi-terminal POS environment is the double-sell scenario: two cashiers scanning the same product simultaneously when only one unit remains in stock. Without proper concurrency control, both transactions would read stock = 1, both would pass the stock check, and both would decrement to stock = 0, resulting in one sale that cannot be fulfilled.</w:t>
      </w:r>
    </w:p>
    <w:p>
      <w:r>
        <w:t>The system solves this using pessimistic locking within atomic database transactions. When CheckoutService::checkout() is called, it wraps the entire operation in DB::transaction(). Each product row is loaded with lockForUpdate(), which acquires an exclusive row lock in InnoDB. If a second transaction attempts to read the same product, it blocks until the first transaction commits or rolls back. This serialization guarantees that stock checks are always performed against the true current value.</w:t>
      </w:r>
    </w:p>
    <w:p>
      <w:r>
        <w:t>A subtle but important additional guard was implemented: the service aggregates requested quantities per product ID before comparing against stock. This prevents a variant of overselling where a cart contains two separate line items for the same product (e.g., line 1: product A x 3, line 2: product A x 2), which individually pass the stock check but collectively exceed available inventory.</w:t>
      </w:r>
    </w:p>
    <w:p>
      <w:r>
        <w:t>The same locking discipline is applied in RefundService to prevent concurrent refunds from exceeding the refundable quantity of a line item.</w:t>
      </w:r>
    </w:p>
    <w:p>
      <w:pPr>
        <w:pStyle w:val="Heading2"/>
      </w:pPr>
      <w:r>
        <w:t>B. Deterministic Discount Stacking in the Promotion Engine</w:t>
      </w:r>
    </w:p>
    <w:p>
      <w:r>
        <w:t>The promotion engine was designed with a strict stacking order to ensure deterministic and auditable discount calculations. The pipeline proceeds in four stages:</w:t>
      </w:r>
    </w:p>
    <w:p>
      <w:pPr>
        <w:pStyle w:val="ListNumber"/>
      </w:pPr>
      <w:r>
        <w:t>Line subtotals are computed from server-authoritative prices. The client-side display prices are never trusted for calculations.</w:t>
      </w:r>
    </w:p>
    <w:p>
      <w:pPr>
        <w:pStyle w:val="ListNumber"/>
      </w:pPr>
      <w:r>
        <w:t>All eligible auto-promotions are evaluated, scored by their potential discount amount (largest savings first, with promotion_id as a tiebreaker), and applied sequentially against a running remainder. The running remainder is capped at zero: no combination of promotions can produce a negative total.</w:t>
      </w:r>
    </w:p>
    <w:p>
      <w:pPr>
        <w:pStyle w:val="ListNumber"/>
      </w:pPr>
      <w:r>
        <w:t>Legacy manual discounts (via discount_id) are applied to the post-promotion remainder.</w:t>
      </w:r>
    </w:p>
    <w:p>
      <w:pPr>
        <w:pStyle w:val="ListNumber"/>
      </w:pPr>
      <w:r>
        <w:t>Coupon discounts are validated (code, date window, minimum purchase, customer eligibility) and applied as the final reduction. The coupon row is re-read with lockForUpdate() to prevent two cashiers from both consuming the last use of a capped coupon.</w:t>
      </w:r>
    </w:p>
    <w:p>
      <w:r>
        <w:t>Each applied promotion is recorded in the sale_promotion table with a JSON snapshot of the promotion's definition at the time of application. This creates an immutable audit trail: even if the promotion is later modified or deleted, the exact terms under which the discount was granted are permanently preserved.</w:t>
      </w:r>
    </w:p>
    <w:p>
      <w:r>
        <w:t>The deterministic ordering (largest-first with ID tiebreaker) ensures that given the same cart contents and the same active promotions, the system always produces the same discount total. This is critical for audit compliance and customer dispute resolution.</w:t>
      </w:r>
    </w:p>
    <w:p>
      <w:pPr>
        <w:pStyle w:val="Heading2"/>
      </w:pPr>
      <w:r>
        <w:t>C. Refund Policy Enforcement with Pro-Rated Reversal</w:t>
      </w:r>
    </w:p>
    <w:p>
      <w:r>
        <w:t>The 7-day refund window is enforced at the service layer, not the controller, ensuring it cannot be bypassed by alternative entry points (e.g., future API endpoints). The RefundService calculates the age of the sale in days and compares it against the WINDOW_DAYS constant (7). If the sale exceeds the window, only employees whose role matches MANAGER_ROLES may proceed, and the refund record is permanently flagged with window_override = true.</w:t>
      </w:r>
    </w:p>
    <w:p>
      <w:r>
        <w:t>A particularly nuanced design decision was the pro-rated refund calculation. When a sale had discounts applied, refunding at the original list price would return more money than the customer actually paid. The service computes a paid ratio:</w:t>
      </w:r>
    </w:p>
    <w:p>
      <w:r>
        <w:rPr>
          <w:i/>
        </w:rPr>
        <w:t xml:space="preserve">    paidRatio = totalAmount / subtotal</w:t>
      </w:r>
    </w:p>
    <w:p>
      <w:r>
        <w:t>Each line item's subtotal is multiplied by this ratio before calculating the refund amount. If a customer bought a P500 item with a 20% discount (paying P400), and they refund 1 of 2 units, the refund is P200 (half of P400), not P250 (half of P500). This ensures mathematical accuracy regardless of how many discount layers were applied.</w:t>
      </w:r>
    </w:p>
    <w:p>
      <w:r>
        <w:t>Additional safeguards include: Cashiers may only refund their own sales (Managers can refund any sale), inventory quantities are automatically restored, and customer loyalty points are proportionally reversed.</w:t>
      </w:r>
    </w:p>
    <w:p>
      <w:pPr>
        <w:pStyle w:val="Heading2"/>
      </w:pPr>
      <w:r>
        <w:t>D. Cash Drawer Accountability Chain</w:t>
      </w:r>
    </w:p>
    <w:p>
      <w:r>
        <w:t>The cash drawer module implements a complete accountability chain from shift start to shift end:</w:t>
      </w:r>
    </w:p>
    <w:p>
      <w:pPr>
        <w:pStyle w:val="ListNumber"/>
      </w:pPr>
      <w:r>
        <w:t>A cashier opens a register with a starting cash float (Quick presets: P1,000 / P2,000 / P3,000 / P5,000, or custom amount). Any previously open drawer for that employee is automatically closed.</w:t>
      </w:r>
    </w:p>
    <w:p>
      <w:pPr>
        <w:pStyle w:val="ListNumber"/>
      </w:pPr>
      <w:r>
        <w:t>During the shift, each cash-method sale processed through CheckoutService::checkout() automatically increments the drawer's expected_cash field within the same database transaction as the sale. This tight coupling ensures that every cash sale is reflected in the drawer's expected total.</w:t>
      </w:r>
    </w:p>
    <w:p>
      <w:pPr>
        <w:pStyle w:val="ListNumber"/>
      </w:pPr>
      <w:r>
        <w:t>At shift end, the cashier counts their physical cash and enters the actual amount in a styled in-app modal (not a browser prompt). The CashDrawerService computes variance = actual - expected and classifies the result.</w:t>
      </w:r>
    </w:p>
    <w:p>
      <w:pPr>
        <w:pStyle w:val="ListNumber"/>
      </w:pPr>
      <w:r>
        <w:t>All closed drawer records are stored with opening/closing timestamps, employee attribution, and exact variance amounts for manager review in the Cash Drawers history page.</w:t>
      </w:r>
    </w:p>
    <w:p>
      <w:r>
        <w:t>The chain is designed to be tamper-resistant: the expected_cash field is updated only within the CheckoutService's transaction, so it cannot be manipulated outside the normal sale flow. The three classification outcomes are:</w:t>
      </w:r>
    </w:p>
    <w:p>
      <w:pPr>
        <w:pStyle w:val="ListBullet"/>
      </w:pPr>
      <w:r>
        <w:t>Balanced (variance = 0): The physical count exactly matches the system-tracked expected amount. Displayed with a green badge.</w:t>
      </w:r>
    </w:p>
    <w:p>
      <w:pPr>
        <w:pStyle w:val="ListBullet"/>
      </w:pPr>
      <w:r>
        <w:t>Shortage (variance &lt; 0): The physical count is less than expected, indicating potential miscounting, theft, or unrecorded transactions. Displayed with a red badge.</w:t>
      </w:r>
    </w:p>
    <w:p>
      <w:pPr>
        <w:pStyle w:val="ListBullet"/>
      </w:pPr>
      <w:r>
        <w:t>Overage (variance &gt; 0): The physical count exceeds expectations, indicating possible customer overpayment or unrecorded returns. Displayed with a yellow badge.</w:t>
      </w:r>
    </w:p>
    <w:p>
      <w:pPr>
        <w:pStyle w:val="Heading2"/>
      </w:pPr>
      <w:r>
        <w:t>E. Integration-Ready Service Architecture</w:t>
      </w:r>
    </w:p>
    <w:p>
      <w:r>
        <w:t>The thin controller / heavy service pattern was specifically chosen to facilitate future integration with sibling enterprise systems developed by other course groups. The key architectural properties that enable this are:</w:t>
      </w:r>
    </w:p>
    <w:p>
      <w:pPr>
        <w:pStyle w:val="ListBullet"/>
      </w:pPr>
      <w:r>
        <w:t>Service Independence: CheckoutService, PromotionService, RefundService, and CashDrawerService are dependency-injected and have no knowledge of HTTP or Blade views. A future REST API controller can call the same services with the same guarantees.</w:t>
      </w:r>
    </w:p>
    <w:p>
      <w:pPr>
        <w:pStyle w:val="ListBullet"/>
      </w:pPr>
      <w:r>
        <w:t>Loose Coupling via Foreign Keys: Customer data is referenced by customer_id, not embedded. A CRM integration only needs to synchronize the customer table without touching sale logic.</w:t>
      </w:r>
    </w:p>
    <w:p>
      <w:pPr>
        <w:pStyle w:val="ListBullet"/>
      </w:pPr>
      <w:r>
        <w:t>Event-Worthy Mutations: Stock movements, sale completions, and refunds are recorded as discrete database records (stock_movement, audit_log) that an integration layer can poll or subscribe to.</w:t>
      </w:r>
    </w:p>
    <w:p>
      <w:pPr>
        <w:pStyle w:val="ListBullet"/>
      </w:pPr>
      <w:r>
        <w:t>Additive Integration Path: Adding a /api/v1/sales endpoint requires only a new ApiSalesController that calls CheckoutService::checkout() with JSON-validated input. Zero modification of existing code.</w:t>
      </w:r>
    </w:p>
    <w:p>
      <w:pPr>
        <w:pStyle w:val="Heading1"/>
      </w:pPr>
      <w:r>
        <w:t>VI. Results</w:t>
      </w:r>
    </w:p>
    <w:p>
      <w:r>
        <w:t>The completed system achieves the following measurable outcomes:</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Automated Test Coverage</w:t>
            </w:r>
          </w:p>
        </w:tc>
        <w:tc>
          <w:tcPr>
            <w:tcW w:type="dxa" w:w="4320"/>
          </w:tcPr>
          <w:p>
            <w:r>
              <w:t>94 tests, 325 assertions, 100% pass rate</w:t>
            </w:r>
          </w:p>
        </w:tc>
      </w:tr>
      <w:tr>
        <w:tc>
          <w:tcPr>
            <w:tcW w:type="dxa" w:w="4320"/>
          </w:tcPr>
          <w:p>
            <w:r>
              <w:t>Database Tables</w:t>
            </w:r>
          </w:p>
        </w:tc>
        <w:tc>
          <w:tcPr>
            <w:tcW w:type="dxa" w:w="4320"/>
          </w:tcPr>
          <w:p>
            <w:r>
              <w:t>20+ with foreign keys and indexed relationships</w:t>
            </w:r>
          </w:p>
        </w:tc>
      </w:tr>
      <w:tr>
        <w:tc>
          <w:tcPr>
            <w:tcW w:type="dxa" w:w="4320"/>
          </w:tcPr>
          <w:p>
            <w:r>
              <w:t>Domain Services</w:t>
            </w:r>
          </w:p>
        </w:tc>
        <w:tc>
          <w:tcPr>
            <w:tcW w:type="dxa" w:w="4320"/>
          </w:tcPr>
          <w:p>
            <w:r>
              <w:t>4 core + 2 support services</w:t>
            </w:r>
          </w:p>
        </w:tc>
      </w:tr>
      <w:tr>
        <w:tc>
          <w:tcPr>
            <w:tcW w:type="dxa" w:w="4320"/>
          </w:tcPr>
          <w:p>
            <w:r>
              <w:t>Route Endpoints</w:t>
            </w:r>
          </w:p>
        </w:tc>
        <w:tc>
          <w:tcPr>
            <w:tcW w:type="dxa" w:w="4320"/>
          </w:tcPr>
          <w:p>
            <w:r>
              <w:t>72 registered routes across 15 controllers</w:t>
            </w:r>
          </w:p>
        </w:tc>
      </w:tr>
      <w:tr>
        <w:tc>
          <w:tcPr>
            <w:tcW w:type="dxa" w:w="4320"/>
          </w:tcPr>
          <w:p>
            <w:r>
              <w:t>Promotion Types</w:t>
            </w:r>
          </w:p>
        </w:tc>
        <w:tc>
          <w:tcPr>
            <w:tcW w:type="dxa" w:w="4320"/>
          </w:tcPr>
          <w:p>
            <w:r>
              <w:t>4 (percentage, fixed, bundle_price, buy_x_get_y)</w:t>
            </w:r>
          </w:p>
        </w:tc>
      </w:tr>
      <w:tr>
        <w:tc>
          <w:tcPr>
            <w:tcW w:type="dxa" w:w="4320"/>
          </w:tcPr>
          <w:p>
            <w:r>
              <w:t>Payment Methods</w:t>
            </w:r>
          </w:p>
        </w:tc>
        <w:tc>
          <w:tcPr>
            <w:tcW w:type="dxa" w:w="4320"/>
          </w:tcPr>
          <w:p>
            <w:r>
              <w:t>3 (Cash, Card, E-Wallet) with verification</w:t>
            </w:r>
          </w:p>
        </w:tc>
      </w:tr>
      <w:tr>
        <w:tc>
          <w:tcPr>
            <w:tcW w:type="dxa" w:w="4320"/>
          </w:tcPr>
          <w:p>
            <w:r>
              <w:t>Refund Policy</w:t>
            </w:r>
          </w:p>
        </w:tc>
        <w:tc>
          <w:tcPr>
            <w:tcW w:type="dxa" w:w="4320"/>
          </w:tcPr>
          <w:p>
            <w:r>
              <w:t>7-day window with Manager override</w:t>
            </w:r>
          </w:p>
        </w:tc>
      </w:tr>
      <w:tr>
        <w:tc>
          <w:tcPr>
            <w:tcW w:type="dxa" w:w="4320"/>
          </w:tcPr>
          <w:p>
            <w:r>
              <w:t>Barcode Standard</w:t>
            </w:r>
          </w:p>
        </w:tc>
        <w:tc>
          <w:tcPr>
            <w:tcW w:type="dxa" w:w="4320"/>
          </w:tcPr>
          <w:p>
            <w:r>
              <w:t>EAN-13 with algorithmic checksum validation</w:t>
            </w:r>
          </w:p>
        </w:tc>
      </w:tr>
      <w:tr>
        <w:tc>
          <w:tcPr>
            <w:tcW w:type="dxa" w:w="4320"/>
          </w:tcPr>
          <w:p>
            <w:r>
              <w:t>Concurrency Control</w:t>
            </w:r>
          </w:p>
        </w:tc>
        <w:tc>
          <w:tcPr>
            <w:tcW w:type="dxa" w:w="4320"/>
          </w:tcPr>
          <w:p>
            <w:r>
              <w:t>Pessimistic row locking (SELECT FOR UPDATE)</w:t>
            </w:r>
          </w:p>
        </w:tc>
      </w:tr>
      <w:tr>
        <w:tc>
          <w:tcPr>
            <w:tcW w:type="dxa" w:w="4320"/>
          </w:tcPr>
          <w:p>
            <w:r>
              <w:t>Audio Feedback</w:t>
            </w:r>
          </w:p>
        </w:tc>
        <w:tc>
          <w:tcPr>
            <w:tcW w:type="dxa" w:w="4320"/>
          </w:tcPr>
          <w:p>
            <w:r>
              <w:t>3 procedural sounds via Web Audio API</w:t>
            </w:r>
          </w:p>
        </w:tc>
      </w:tr>
      <w:tr>
        <w:tc>
          <w:tcPr>
            <w:tcW w:type="dxa" w:w="4320"/>
          </w:tcPr>
          <w:p>
            <w:r>
              <w:t>Test Engine Compatibility</w:t>
            </w:r>
          </w:p>
        </w:tc>
        <w:tc>
          <w:tcPr>
            <w:tcW w:type="dxa" w:w="4320"/>
          </w:tcPr>
          <w:p>
            <w:r>
              <w:t>SQLite (CI) and MariaDB (production)</w:t>
            </w:r>
          </w:p>
        </w:tc>
      </w:tr>
    </w:tbl>
    <w:p>
      <w:r>
        <w:t>The 94-test suite covers checkout flow, inventory locking, promotion stacking, coupon validation (including the live AJAX preview endpoint), refund policy enforcement, payment reference persistence, cash drawer reconciliation, and EAN-13 barcode generation. All tests pass on both SQLite and MariaDB, confirming cross-engine SQL compatibility.</w:t>
      </w:r>
    </w:p>
    <w:p>
      <w:pPr>
        <w:pStyle w:val="Heading1"/>
      </w:pPr>
      <w:r>
        <w:t>VII. Conclusion</w:t>
      </w:r>
    </w:p>
    <w:p>
      <w:r>
        <w:t>This case study demonstrates that a web-based POS system built with the Laravel framework and MariaDB can achieve transaction-grade data integrity through disciplined use of pessimistic locking, atomic transactions, and server-authoritative business logic. The thin controller / heavy service architecture provides clean separation of concerns that makes the codebase both testable (94 automated tests) and integration-ready (services injectable by future API controllers without logic duplication).</w:t>
      </w:r>
    </w:p>
    <w:p>
      <w:r>
        <w:t>The deterministic discount stacking pipeline in PromotionService eliminates the ambiguity that plagues ad-hoc discount implementations, while the pro-rated refund calculation in RefundService ensures mathematical accuracy across all discount combinations. The cash drawer accountability chain closes the loop on financial tracking, providing managers with verifiable shift-level cash reconciliation.</w:t>
      </w:r>
    </w:p>
    <w:p>
      <w:r>
        <w:t>The system is architecturally prepared for end-of-semester integration with CRM, HRMS, and Procurement modules, requiring only additive development (new controllers and API endpoints) rather than refactoring of existing code. This validates the service-oriented design philosophy adopted at the start of the project.</w:t>
      </w:r>
    </w:p>
    <w:p>
      <w:r>
        <w:t>The project also demonstrates that academic systems can be built to production-quality standards within a constrained timeline by leveraging established design patterns (service layer, pessimistic locking, RBAC), a mature framework (Laravel), and rigorous automated testing. The discipline of writing tests alongside features, rather than as an afterthought, caught several subtle bugs (decimal rounding, nullable foreign keys, SQLite/MySQL compatibility) that would have been difficult to diagnose in a manual testing workflow.</w:t>
      </w:r>
    </w:p>
    <w:p>
      <w:pPr>
        <w:pStyle w:val="Heading1"/>
      </w:pPr>
      <w:r>
        <w:t>VIII. Recommendations for Future Work</w:t>
      </w:r>
    </w:p>
    <w:p>
      <w:pPr>
        <w:pStyle w:val="ListNumber"/>
      </w:pPr>
      <w:r>
        <w:t>Implement REST API endpoints (JSON responses) for each core service to support external system integration (CRM loyalty sync, HRMS attendance, Procurement reorder triggers).</w:t>
      </w:r>
    </w:p>
    <w:p>
      <w:pPr>
        <w:pStyle w:val="ListNumber"/>
      </w:pPr>
      <w:r>
        <w:t>Add real-time WebSocket notifications for low-stock alerts pushed to the manager dashboard.</w:t>
      </w:r>
    </w:p>
    <w:p>
      <w:pPr>
        <w:pStyle w:val="ListNumber"/>
      </w:pPr>
      <w:r>
        <w:t>Implement ESC/POS thermal printer protocol support for direct hardware receipt printing without browser print dialogs.</w:t>
      </w:r>
    </w:p>
    <w:p>
      <w:pPr>
        <w:pStyle w:val="ListNumber"/>
      </w:pPr>
      <w:r>
        <w:t>Add multi-store support with store_id scoping across sales, inventory, and cash drawers.</w:t>
      </w:r>
    </w:p>
    <w:p>
      <w:pPr>
        <w:pStyle w:val="ListNumber"/>
      </w:pPr>
      <w:r>
        <w:t>Implement advanced fraud detection analytics (unusual refund patterns, high void rates, cash drawer shortage trends).</w:t>
      </w:r>
    </w:p>
    <w:p>
      <w:pPr>
        <w:pStyle w:val="ListNumber"/>
      </w:pPr>
      <w:r>
        <w:t>Add barcode-badge employee authentication using hardware ID scanners for faster shift changes.</w:t>
      </w:r>
    </w:p>
    <w:p>
      <w:pPr>
        <w:pStyle w:val="ListNumber"/>
      </w:pPr>
      <w:r>
        <w:t>Implement a customer-facing second display (pole display / customer screen) showing scanned items and running totals.</w:t>
      </w:r>
    </w:p>
    <w:p>
      <w:pPr>
        <w:pStyle w:val="ListNumber"/>
      </w:pPr>
      <w:r>
        <w:t>Introduce Form Request classes for input validation to further decouple controllers from validation rules.</w:t>
      </w:r>
    </w:p>
    <w:p>
      <w:pPr>
        <w:pStyle w:val="ListNumber"/>
      </w:pPr>
      <w:r>
        <w:t>Add Eloquent Policies for authorization to complement the existing middleware-based route protection.</w:t>
      </w:r>
    </w:p>
    <w:p>
      <w:pPr>
        <w:pStyle w:val="Heading1"/>
      </w:pPr>
      <w:r>
        <w:t>References</w:t>
      </w:r>
    </w:p>
    <w:p>
      <w:pPr>
        <w:pStyle w:val="ListBullet"/>
      </w:pPr>
      <w:r>
        <w:t>Laravel Documentation (2026). https://laravel.com/docs</w:t>
      </w:r>
    </w:p>
    <w:p>
      <w:pPr>
        <w:pStyle w:val="ListBullet"/>
      </w:pPr>
      <w:r>
        <w:t>MariaDB Knowledge Base - InnoDB Locking. https://mariadb.com/kb/en/innodb-lock-modes/</w:t>
      </w:r>
    </w:p>
    <w:p>
      <w:pPr>
        <w:pStyle w:val="ListBullet"/>
      </w:pPr>
      <w:r>
        <w:t>Fowler, M. (2002). Patterns of Enterprise Application Architecture. Addison-Wesley.</w:t>
      </w:r>
    </w:p>
    <w:p>
      <w:pPr>
        <w:pStyle w:val="ListBullet"/>
      </w:pPr>
      <w:r>
        <w:t>Web Audio API Specification. W3C. https://www.w3.org/TR/webaudio/</w:t>
      </w:r>
    </w:p>
    <w:p>
      <w:pPr>
        <w:pStyle w:val="ListBullet"/>
      </w:pPr>
      <w:r>
        <w:t>GS1 General Specifications - EAN/UPC Barcodes. https://www.gs1.org/standards/barcodes/ean-upc</w:t>
      </w:r>
    </w:p>
    <w:p>
      <w:pPr>
        <w:pStyle w:val="ListBullet"/>
      </w:pPr>
      <w:r>
        <w:t>PHP 8.3 Release Notes. https://www.php.net/releases/8.3/</w:t>
      </w:r>
    </w:p>
    <w:p>
      <w:pPr>
        <w:pStyle w:val="ListBullet"/>
      </w:pPr>
      <w:r>
        <w:t>PHPUnit Documentation. https://docs.phpunit.de/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Enterprise Supermarket POS System -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rPr>
      <w:rFonts w:ascii="Calibri" w:hAnsi="Calibri"/>
      <w:b/>
      <w:color w:val="203C3D"/>
    </w:rPr>
  </w:style>
  <w:style w:type="paragraph" w:customStyle="1" w:styleId="CoverSub">
    <w:name w:val="CoverSub"/>
    <w:rPr>
      <w:rFonts w:ascii="Calibri" w:hAnsi="Calibri"/>
      <w:color w:val="55555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