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Calibri" w:hAnsi="Calibri"/>
          <w:b/>
          <w:color w:val="1A365D"/>
          <w:sz w:val="44"/>
        </w:rPr>
        <w:t>Enterprise Data Preprocessing &amp; Cleansing Architecture for Multimodal Logistics Telematics</w:t>
      </w:r>
    </w:p>
    <w:p>
      <w:pPr>
        <w:spacing w:before="0" w:after="240"/>
      </w:pPr>
      <w:r>
        <w:rPr>
          <w:rFonts w:ascii="Calibri" w:hAnsi="Calibri"/>
          <w:b/>
          <w:color w:val="2B6CB0"/>
          <w:sz w:val="24"/>
        </w:rPr>
        <w:t>Technical Implementation Report for Task 2 | Production Ingestion, Physics Gating &amp; Feature Pipeline</w:t>
      </w:r>
    </w:p>
    <w:tbl>
      <w:tblPr>
        <w:tblW w:type="auto" w:w="0"/>
        <w:jc w:val="center"/>
        <w:tblLayout w:type="fixed"/>
        <w:tblLook w:firstColumn="1" w:firstRow="1" w:lastColumn="0" w:lastRow="0" w:noHBand="0" w:noVBand="1" w:val="04A0"/>
        <w:tblBorders>
          <w:top w:val="single" w:sz="4" w:space="0" w:color="CBD5E0"/>
          <w:left w:val="none" w:sz="0" w:space="0" w:color="auto"/>
          <w:bottom w:val="single" w:sz="8" w:space="0" w:color="1A365D"/>
          <w:right w:val="none" w:sz="0" w:space="0" w:color="auto"/>
          <w:insideH w:val="single" w:sz="4" w:space="0" w:color="CBD5E0"/>
          <w:insideV w:val="none" w:sz="0" w:space="0" w:color="auto"/>
        </w:tblBorders>
      </w:tblPr>
      <w:tblGrid>
        <w:gridCol w:w="4680"/>
        <w:gridCol w:w="4680"/>
      </w:tblGrid>
      <w:tr>
        <w:tc>
          <w:tcPr>
            <w:tcW w:type="dxa" w:w="3312"/>
            <w:tcMar>
              <w:top w:w="60" w:type="dxa"/>
              <w:bottom w:w="60" w:type="dxa"/>
              <w:left w:w="100" w:type="dxa"/>
              <w:right w:w="100" w:type="dxa"/>
            </w:tcMar>
          </w:tcPr>
          <w:p>
            <w:pPr>
              <w:spacing w:before="0" w:after="0"/>
            </w:pPr>
            <w:r>
              <w:rPr>
                <w:rFonts w:ascii="Calibri" w:hAnsi="Calibri"/>
                <w:b/>
                <w:color w:val="1A365D"/>
                <w:sz w:val="19"/>
              </w:rPr>
              <w:t>Document Reference ID</w:t>
            </w:r>
          </w:p>
        </w:tc>
        <w:tc>
          <w:tcPr>
            <w:tcW w:type="dxa" w:w="6048"/>
            <w:tcMar>
              <w:top w:w="60" w:type="dxa"/>
              <w:bottom w:w="60" w:type="dxa"/>
              <w:left w:w="100" w:type="dxa"/>
              <w:right w:w="100" w:type="dxa"/>
            </w:tcMar>
          </w:tcPr>
          <w:p>
            <w:pPr>
              <w:spacing w:before="0" w:after="0"/>
            </w:pPr>
            <w:r>
              <w:rPr>
                <w:rFonts w:ascii="Calibri" w:hAnsi="Calibri"/>
                <w:color w:val="2D3748"/>
                <w:sz w:val="19"/>
              </w:rPr>
              <w:t>LOG-ENG-PREP-2026-T2-PROD (v2.4.0 Production)</w:t>
            </w:r>
          </w:p>
        </w:tc>
      </w:tr>
      <w:tr>
        <w:tc>
          <w:tcPr>
            <w:tcW w:type="dxa" w:w="3312"/>
            <w:tcMar>
              <w:top w:w="60" w:type="dxa"/>
              <w:bottom w:w="60" w:type="dxa"/>
              <w:left w:w="100" w:type="dxa"/>
              <w:right w:w="100" w:type="dxa"/>
            </w:tcMar>
            <w:shd w:fill="F7FAFC"/>
          </w:tcPr>
          <w:p>
            <w:pPr>
              <w:spacing w:before="0" w:after="0"/>
            </w:pPr>
            <w:r>
              <w:rPr>
                <w:rFonts w:ascii="Calibri" w:hAnsi="Calibri"/>
                <w:b/>
                <w:color w:val="1A365D"/>
                <w:sz w:val="19"/>
              </w:rPr>
              <w:t>Author / Engineering Role</w:t>
            </w:r>
          </w:p>
        </w:tc>
        <w:tc>
          <w:tcPr>
            <w:tcW w:type="dxa" w:w="6048"/>
            <w:tcMar>
              <w:top w:w="60" w:type="dxa"/>
              <w:bottom w:w="60" w:type="dxa"/>
              <w:left w:w="100" w:type="dxa"/>
              <w:right w:w="100" w:type="dxa"/>
            </w:tcMar>
            <w:shd w:fill="F7FAFC"/>
          </w:tcPr>
          <w:p>
            <w:pPr>
              <w:spacing w:before="0" w:after="0"/>
            </w:pPr>
            <w:r>
              <w:rPr>
                <w:rFonts w:ascii="Calibri" w:hAnsi="Calibri"/>
                <w:color w:val="2D3748"/>
                <w:sz w:val="19"/>
              </w:rPr>
              <w:t>Lead Logistics Data Analyst Intern &amp; Supply Chain Systems Engineer</w:t>
            </w:r>
          </w:p>
        </w:tc>
      </w:tr>
      <w:tr>
        <w:tc>
          <w:tcPr>
            <w:tcW w:type="dxa" w:w="3312"/>
            <w:tcMar>
              <w:top w:w="60" w:type="dxa"/>
              <w:bottom w:w="60" w:type="dxa"/>
              <w:left w:w="100" w:type="dxa"/>
              <w:right w:w="100" w:type="dxa"/>
            </w:tcMar>
          </w:tcPr>
          <w:p>
            <w:pPr>
              <w:spacing w:before="0" w:after="0"/>
            </w:pPr>
            <w:r>
              <w:rPr>
                <w:rFonts w:ascii="Calibri" w:hAnsi="Calibri"/>
                <w:b/>
                <w:color w:val="1A365D"/>
                <w:sz w:val="19"/>
              </w:rPr>
              <w:t>Supervisory Reviewers</w:t>
            </w:r>
          </w:p>
        </w:tc>
        <w:tc>
          <w:tcPr>
            <w:tcW w:type="dxa" w:w="6048"/>
            <w:tcMar>
              <w:top w:w="60" w:type="dxa"/>
              <w:bottom w:w="60" w:type="dxa"/>
              <w:left w:w="100" w:type="dxa"/>
              <w:right w:w="100" w:type="dxa"/>
            </w:tcMar>
          </w:tcPr>
          <w:p>
            <w:pPr>
              <w:spacing w:before="0" w:after="0"/>
            </w:pPr>
            <w:r>
              <w:rPr>
                <w:rFonts w:ascii="Calibri" w:hAnsi="Calibri"/>
                <w:color w:val="2D3748"/>
                <w:sz w:val="19"/>
              </w:rPr>
              <w:t>Director of Supply Chain Analytics &amp; VP of Fleet Engineering</w:t>
            </w:r>
          </w:p>
        </w:tc>
      </w:tr>
      <w:tr>
        <w:tc>
          <w:tcPr>
            <w:tcW w:type="dxa" w:w="3312"/>
            <w:tcMar>
              <w:top w:w="60" w:type="dxa"/>
              <w:bottom w:w="60" w:type="dxa"/>
              <w:left w:w="100" w:type="dxa"/>
              <w:right w:w="100" w:type="dxa"/>
            </w:tcMar>
            <w:shd w:fill="F7FAFC"/>
          </w:tcPr>
          <w:p>
            <w:pPr>
              <w:spacing w:before="0" w:after="0"/>
            </w:pPr>
            <w:r>
              <w:rPr>
                <w:rFonts w:ascii="Calibri" w:hAnsi="Calibri"/>
                <w:b/>
                <w:color w:val="1A365D"/>
                <w:sz w:val="19"/>
              </w:rPr>
              <w:t>Operational Domain</w:t>
            </w:r>
          </w:p>
        </w:tc>
        <w:tc>
          <w:tcPr>
            <w:tcW w:type="dxa" w:w="6048"/>
            <w:tcMar>
              <w:top w:w="60" w:type="dxa"/>
              <w:bottom w:w="60" w:type="dxa"/>
              <w:left w:w="100" w:type="dxa"/>
              <w:right w:w="100" w:type="dxa"/>
            </w:tcMar>
            <w:shd w:fill="F7FAFC"/>
          </w:tcPr>
          <w:p>
            <w:pPr>
              <w:spacing w:before="0" w:after="0"/>
            </w:pPr>
            <w:r>
              <w:rPr>
                <w:rFonts w:ascii="Calibri" w:hAnsi="Calibri"/>
                <w:color w:val="2D3748"/>
                <w:sz w:val="19"/>
              </w:rPr>
              <w:t>Multimodal Freight Haulage &amp; Metropolitan Urban Last-Mile Telematics</w:t>
            </w:r>
          </w:p>
        </w:tc>
      </w:tr>
      <w:tr>
        <w:tc>
          <w:tcPr>
            <w:tcW w:type="dxa" w:w="3312"/>
            <w:tcMar>
              <w:top w:w="60" w:type="dxa"/>
              <w:bottom w:w="60" w:type="dxa"/>
              <w:left w:w="100" w:type="dxa"/>
              <w:right w:w="100" w:type="dxa"/>
            </w:tcMar>
          </w:tcPr>
          <w:p>
            <w:pPr>
              <w:spacing w:before="0" w:after="0"/>
            </w:pPr>
            <w:r>
              <w:rPr>
                <w:rFonts w:ascii="Calibri" w:hAnsi="Calibri"/>
                <w:b/>
                <w:color w:val="1A365D"/>
                <w:sz w:val="19"/>
              </w:rPr>
              <w:t>Public Benchmark Standards</w:t>
            </w:r>
          </w:p>
        </w:tc>
        <w:tc>
          <w:tcPr>
            <w:tcW w:type="dxa" w:w="6048"/>
            <w:tcMar>
              <w:top w:w="60" w:type="dxa"/>
              <w:bottom w:w="60" w:type="dxa"/>
              <w:left w:w="100" w:type="dxa"/>
              <w:right w:w="100" w:type="dxa"/>
            </w:tcMar>
          </w:tcPr>
          <w:p>
            <w:pPr>
              <w:spacing w:before="0" w:after="0"/>
            </w:pPr>
            <w:r>
              <w:rPr>
                <w:rFonts w:ascii="Calibri" w:hAnsi="Calibri"/>
                <w:color w:val="2D3748"/>
                <w:sz w:val="19"/>
              </w:rPr>
              <w:t>Brazilian E-Commerce (Olist) &amp; DataCo Smart Supply Chain Dataset</w:t>
            </w:r>
          </w:p>
        </w:tc>
      </w:tr>
      <w:tr>
        <w:tc>
          <w:tcPr>
            <w:tcW w:type="dxa" w:w="3312"/>
            <w:tcMar>
              <w:top w:w="60" w:type="dxa"/>
              <w:bottom w:w="60" w:type="dxa"/>
              <w:left w:w="100" w:type="dxa"/>
              <w:right w:w="100" w:type="dxa"/>
            </w:tcMar>
            <w:shd w:fill="F7FAFC"/>
          </w:tcPr>
          <w:p>
            <w:pPr>
              <w:spacing w:before="0" w:after="0"/>
            </w:pPr>
            <w:r>
              <w:rPr>
                <w:rFonts w:ascii="Calibri" w:hAnsi="Calibri"/>
                <w:b/>
                <w:color w:val="1A365D"/>
                <w:sz w:val="19"/>
              </w:rPr>
              <w:t>Technical Stack</w:t>
            </w:r>
          </w:p>
        </w:tc>
        <w:tc>
          <w:tcPr>
            <w:tcW w:type="dxa" w:w="6048"/>
            <w:tcMar>
              <w:top w:w="60" w:type="dxa"/>
              <w:bottom w:w="60" w:type="dxa"/>
              <w:left w:w="100" w:type="dxa"/>
              <w:right w:w="100" w:type="dxa"/>
            </w:tcMar>
            <w:shd w:fill="F7FAFC"/>
          </w:tcPr>
          <w:p>
            <w:pPr>
              <w:spacing w:before="0" w:after="0"/>
            </w:pPr>
            <w:r>
              <w:rPr>
                <w:rFonts w:ascii="Calibri" w:hAnsi="Calibri"/>
                <w:color w:val="2D3748"/>
                <w:sz w:val="19"/>
              </w:rPr>
              <w:t>Python 3.10+, Pandas 3.0+, NumPy 2.4+, Scikit-Learn 1.9+ (ColumnTransformer)</w:t>
            </w:r>
          </w:p>
        </w:tc>
      </w:tr>
    </w:tbl>
    <w:p>
      <w:pPr>
        <w:spacing w:before="120" w:after="120"/>
      </w:pPr>
    </w:p>
    <w:tbl>
      <w:tblPr>
        <w:tblW w:type="auto" w:w="0"/>
        <w:jc w:val="center"/>
        <w:tblLayout w:type="fixed"/>
        <w:tblLook w:firstColumn="1" w:firstRow="1" w:lastColumn="0" w:lastRow="0" w:noHBand="0" w:noVBand="1" w:val="04A0"/>
      </w:tblPr>
      <w:tblGrid>
        <w:gridCol w:w="9360"/>
      </w:tblGrid>
      <w:tr>
        <w:tc>
          <w:tcPr>
            <w:tcW w:type="dxa" w:w="9360"/>
            <w:shd w:fill="EDF2F7"/>
            <w:tcBorders>
              <w:top w:val="none" w:sz="0" w:space="0" w:color="auto"/>
              <w:left w:val="single" w:sz="36" w:space="0" w:color="1A365D"/>
              <w:bottom w:val="none" w:sz="0" w:space="0" w:color="auto"/>
              <w:right w:val="none" w:sz="0" w:space="0" w:color="auto"/>
            </w:tcBorders>
            <w:tcMar>
              <w:top w:w="140" w:type="dxa"/>
              <w:bottom w:w="140" w:type="dxa"/>
              <w:left w:w="200" w:type="dxa"/>
              <w:right w:w="160" w:type="dxa"/>
            </w:tcMar>
          </w:tcPr>
          <w:p>
            <w:pPr>
              <w:spacing w:before="40" w:after="80"/>
            </w:pPr>
            <w:r>
              <w:rPr>
                <w:rFonts w:ascii="Calibri" w:hAnsi="Calibri"/>
                <w:b/>
                <w:color w:val="1A365D"/>
                <w:sz w:val="22"/>
              </w:rPr>
              <w:t>■ EXECUTIVE ABSTRACT &amp; SYSTEM MANDATE</w:t>
              <w:br/>
            </w:r>
            <w:r>
              <w:rPr>
                <w:rFonts w:ascii="Calibri" w:hAnsi="Calibri"/>
                <w:color w:val="2D3748"/>
                <w:sz w:val="20"/>
              </w:rPr>
              <w:t>Modern enterprise supply chains ingest massive operational telematics across disparate systems: ERP platforms, Warehouse Management Systems (WMS), Transportation Management Systems (TMS), vehicle CAN-bus sensors, and mobile driver Proof-of-Delivery (POD) applications. Unprocessed feeds suffer from extreme entropy—including structural key duplicates, sensor tare calibration drift, inverted timestamps, coordinate transpositions, and heavy-tail skewness. This report establishes an industrial-grade, mathematically rigorous data preprocessing pipeline. Benchmarked against canonical Olist and DataCo supply chain datasets, the architecture implements automated primary key deduplication, geospatial polygon bounding, physical logic gating, non-parametric Tukey's Fences Winsorization, and a leak-free Scikit-Learn ColumnTransformer integrating cyclical trigonometric temporal encodings and RobustScaler normalizations. Across 2,000 simulated telematics records, the pipeline achieved a 97.90% operational retention yield, stabilized cargo weight skewness from 11.97 down to 1.83, and produced a clean, 31-dimensional feature matrix that eliminates target leakage and guarantees mathematical stability for downstream ETA regression and route optimization.</w:t>
            </w:r>
          </w:p>
        </w:tc>
      </w:tr>
    </w:tbl>
    <w:p>
      <w:pPr>
        <w:spacing w:before="0" w:after="120"/>
      </w:pPr>
    </w:p>
    <w:p>
      <w:pPr>
        <w:pStyle w:val="Heading1"/>
        <w:keepNext/>
        <w:spacing w:before="360" w:after="120"/>
      </w:pPr>
      <w:r>
        <w:rPr>
          <w:rFonts w:ascii="Calibri" w:hAnsi="Calibri"/>
          <w:b/>
          <w:color w:val="1A365D"/>
          <w:sz w:val="32"/>
        </w:rPr>
        <w:t>2. Data Collection Architecture &amp; Ingestion Simulation</w:t>
      </w:r>
    </w:p>
    <w:p>
      <w:pPr>
        <w:spacing w:after="120"/>
      </w:pPr>
      <w:r>
        <w:t>Industrial logistics operations capture telemetry across four asynchronous operational tiers. Each subsystem operates under differing polling intervals, network protocols, and failure modes:</w:t>
      </w:r>
    </w:p>
    <w:p>
      <w:pPr>
        <w:pStyle w:val="ListBullet"/>
        <w:spacing w:before="40" w:after="40"/>
      </w:pPr>
      <w:r>
        <w:rPr>
          <w:rFonts w:ascii="Calibri" w:hAnsi="Calibri"/>
          <w:b/>
          <w:color w:val="1A365D"/>
        </w:rPr>
        <w:t xml:space="preserve">Tier 1: Customer Checkout &amp; ERP Systems (Transactional Layer): </w:t>
      </w:r>
      <w:r>
        <w:rPr>
          <w:rFonts w:ascii="Calibri" w:hAnsi="Calibri"/>
          <w:color w:val="2D3748"/>
        </w:rPr>
        <w:t>Captures customer sales orders, item SKUs, promised SLA delivery deadlines, and destination address strings via RESTful APIs.</w:t>
      </w:r>
    </w:p>
    <w:p>
      <w:pPr>
        <w:pStyle w:val="ListBullet"/>
        <w:spacing w:before="40" w:after="40"/>
      </w:pPr>
      <w:r>
        <w:rPr>
          <w:rFonts w:ascii="Calibri" w:hAnsi="Calibri"/>
          <w:b/>
          <w:color w:val="1A365D"/>
        </w:rPr>
        <w:t xml:space="preserve">Tier 2: Warehouse Management Systems (WMS) &amp; Static In-Line Scales (Fulfillment Layer): </w:t>
      </w:r>
      <w:r>
        <w:rPr>
          <w:rFonts w:ascii="Calibri" w:hAnsi="Calibri"/>
          <w:color w:val="2D3748"/>
        </w:rPr>
        <w:t>Captures automated conveyor scale weights, optical CubiScan 3D dimensional volumes (length, width, height), dock door allocations, and outbound staging events.</w:t>
      </w:r>
    </w:p>
    <w:p>
      <w:pPr>
        <w:pStyle w:val="ListBullet"/>
        <w:spacing w:before="40" w:after="40"/>
      </w:pPr>
      <w:r>
        <w:rPr>
          <w:rFonts w:ascii="Calibri" w:hAnsi="Calibri"/>
          <w:b/>
          <w:color w:val="1A365D"/>
        </w:rPr>
        <w:t xml:space="preserve">Tier 3: Transportation Management Systems (TMS) &amp; Gate RFID (Line-Haul Layer): </w:t>
      </w:r>
      <w:r>
        <w:rPr>
          <w:rFonts w:ascii="Calibri" w:hAnsi="Calibri"/>
          <w:color w:val="2D3748"/>
        </w:rPr>
        <w:t>Records dispatch gate departures, line-haul carrier vendor assignments, trailer seal IDs, and electronic freight bills (EDI 204/214 protocols).</w:t>
      </w:r>
    </w:p>
    <w:p>
      <w:pPr>
        <w:pStyle w:val="ListBullet"/>
        <w:spacing w:before="40" w:after="40"/>
      </w:pPr>
      <w:r>
        <w:rPr>
          <w:rFonts w:ascii="Calibri" w:hAnsi="Calibri"/>
          <w:b/>
          <w:color w:val="1A365D"/>
        </w:rPr>
        <w:t xml:space="preserve">Tier 4: Vehicle On-Board Diagnostics (OBD-II / CAN-bus) &amp; Handheld Mobile POD (Edge Layer): </w:t>
      </w:r>
      <w:r>
        <w:rPr>
          <w:rFonts w:ascii="Calibri" w:hAnsi="Calibri"/>
          <w:color w:val="2D3748"/>
        </w:rPr>
        <w:t>Streams high-frequency vehicle GPS coordinates (1 Hz), odometer distances, engine load, and driver handheld electronic signatures over cellular MQTT/WebSockets, subject to signal attenuation.</w:t>
      </w:r>
    </w:p>
    <w:p>
      <w:pPr>
        <w:spacing w:after="80"/>
      </w:pPr>
    </w:p>
    <w:tbl>
      <w:tblPr>
        <w:tblW w:type="auto" w:w="0"/>
        <w:jc w:val="center"/>
        <w:tblLayout w:type="fixed"/>
        <w:tblLook w:firstColumn="1" w:firstRow="1" w:lastColumn="0" w:lastRow="0" w:noHBand="0" w:noVBand="1" w:val="04A0"/>
      </w:tblPr>
      <w:tblGrid>
        <w:gridCol w:w="9360"/>
      </w:tblGrid>
      <w:tr>
        <w:tc>
          <w:tcPr>
            <w:tcW w:type="dxa" w:w="9360"/>
            <w:shd w:fill="F1F5F9"/>
            <w:tcBorders>
              <w:top w:val="none" w:sz="0" w:space="0" w:color="auto"/>
              <w:left w:val="single" w:sz="24" w:space="0" w:color="2B6CB0"/>
              <w:bottom w:val="none" w:sz="0" w:space="0" w:color="auto"/>
              <w:right w:val="none" w:sz="0" w:space="0" w:color="auto"/>
            </w:tcBorders>
            <w:tcMar>
              <w:top w:w="100" w:type="dxa"/>
              <w:bottom w:w="100" w:type="dxa"/>
              <w:left w:w="160" w:type="dxa"/>
              <w:right w:w="120" w:type="dxa"/>
            </w:tcMar>
          </w:tcPr>
          <w:p>
            <w:pPr>
              <w:spacing w:before="40" w:after="40" w:line="252" w:lineRule="auto"/>
            </w:pPr>
            <w:r>
              <w:rPr>
                <w:rFonts w:ascii="Consolas" w:hAnsi="Consolas"/>
                <w:color w:val="1E293B"/>
                <w:sz w:val="17"/>
              </w:rPr>
              <w:t>+----------------------------------------------------------------------------------------------------+</w:t>
              <w:br/>
              <w:t>|                                 MULTI-TIER ENTERPRISE INGESTION LAYER                              |</w:t>
              <w:br/>
              <w:t>+-----------------------------------+--------------------------------+-------------------------------+</w:t>
              <w:br/>
              <w:t>| Tier 1: ERP / Checkout            | Tier 2: WMS &amp; Conveyor Scales  | Tier 4: Edge CAN-bus &amp; POD    |</w:t>
              <w:br/>
              <w:t>| - Order ID &amp; Line Items           | - Gross Deadweight (g / kg)    | - Lat/Lon GPS Pings (1 Hz)    |</w:t>
              <w:br/>
              <w:t>| - Promised SLA Windows            | - Package Dimensions (L, W, H) | - Vehicle Odometer &amp; Speed    |</w:t>
              <w:br/>
              <w:t>| - Customer Destination Text       | - Cross-Dock Staging Scans     | - Mobile Electronic Signatures|</w:t>
              <w:br/>
              <w:t>+-----------------+-----------------+----------------+---------------+---------------+---------------+</w:t>
              <w:br/>
              <w:t xml:space="preserve">                  |                                  |                               |</w:t>
              <w:br/>
              <w:t xml:space="preserve">                  +----------------------------------+-------------------------------+</w:t>
              <w:br/>
              <w:t xml:space="preserve">                                                     |</w:t>
              <w:br/>
              <w:t xml:space="preserve">                                                     v</w:t>
              <w:br/>
              <w:t xml:space="preserve">                                  +------------------------------------+</w:t>
              <w:br/>
              <w:t xml:space="preserve">                                  |    Streaming Ingestion Broker      |</w:t>
              <w:br/>
              <w:t xml:space="preserve">                                  | (Apache Kafka / AWS Kinesis / MQTT)|</w:t>
              <w:br/>
              <w:t xml:space="preserve">                                  +------------------+-----------------+</w:t>
              <w:br/>
              <w:t xml:space="preserve">                                                     |</w:t>
              <w:br/>
              <w:t xml:space="preserve">                                                     v</w:t>
              <w:br/>
              <w:t xml:space="preserve">                                  +------------------------------------+</w:t>
              <w:br/>
              <w:t xml:space="preserve">                                  |      Raw Telematics Lakehouse      |</w:t>
              <w:br/>
              <w:t xml:space="preserve">                                  |   (Bronze Delta Lake / MinIO S3)   |</w:t>
              <w:br/>
              <w:t xml:space="preserve">                                  +------------------+-----------------+</w:t>
              <w:br/>
              <w:t xml:space="preserve">                                                     |</w:t>
              <w:br/>
              <w:t xml:space="preserve">                                                     v</w:t>
              <w:br/>
              <w:t xml:space="preserve">                    +----------------------------------------------------------------+</w:t>
              <w:br/>
              <w:t xml:space="preserve">                    |           ENTERPRISE DATA PREPROCESSING PIPELINE ENGINE        |</w:t>
              <w:br/>
              <w:t xml:space="preserve">                    +----------------------------------------------------------------+</w:t>
              <w:br/>
              <w:t xml:space="preserve">                    |  1. Structural Deduplication &amp; String / Schema Sanitization    |</w:t>
              <w:br/>
              <w:t xml:space="preserve">                    |  2. Domain Logic &amp; Geospatial Polygon Bounding Validation      |</w:t>
              <w:br/>
              <w:t xml:space="preserve">                    |  3. Physics Assertion &amp; Target Leakage Status Gating           |</w:t>
              <w:br/>
              <w:t xml:space="preserve">                    |  4. Scikit-Learn Feature Pipeline (RobustScaler + Sin/Cos Enc) |</w:t>
              <w:br/>
              <w:t xml:space="preserve">                    +--------------------------------+-------------------------------+</w:t>
              <w:br/>
              <w:t xml:space="preserve">                                                     |</w:t>
              <w:br/>
              <w:t xml:space="preserve">                                                     v</w:t>
              <w:br/>
              <w:t xml:space="preserve">                                  +------------------------------------+</w:t>
              <w:br/>
              <w:t xml:space="preserve">                                  |      Clean Analytics Feature Store |</w:t>
              <w:br/>
              <w:t xml:space="preserve">                                  |       (Silver / Gold Layer)        |</w:t>
              <w:br/>
              <w:t xml:space="preserve">                                  +------------------+-----------------+</w:t>
            </w:r>
          </w:p>
        </w:tc>
      </w:tr>
    </w:tbl>
    <w:p>
      <w:pPr>
        <w:spacing w:before="0" w:after="120"/>
      </w:pPr>
    </w:p>
    <w:p>
      <w:pPr>
        <w:pStyle w:val="Heading2"/>
        <w:keepNext/>
        <w:spacing w:before="280" w:after="80"/>
      </w:pPr>
      <w:r>
        <w:rPr>
          <w:rFonts w:ascii="Calibri" w:hAnsi="Calibri"/>
          <w:b/>
          <w:color w:val="2B6CB0"/>
          <w:sz w:val="26"/>
        </w:rPr>
        <w:t>2.1 Enterprise Data Dictionary (Raw Ingestion Schema)</w:t>
      </w:r>
    </w:p>
    <w:tbl>
      <w:tblPr>
        <w:tblW w:type="auto" w:w="0"/>
        <w:jc w:val="center"/>
        <w:tblLayout w:type="fixed"/>
        <w:tblLook w:firstColumn="1" w:firstRow="1" w:lastColumn="0" w:lastRow="0" w:noHBand="0" w:noVBand="1" w:val="04A0"/>
        <w:tblBorders>
          <w:top w:val="single" w:sz="4" w:space="0" w:color="CBD5E0"/>
          <w:left w:val="none" w:sz="0" w:space="0" w:color="auto"/>
          <w:bottom w:val="single" w:sz="8" w:space="0" w:color="1A365D"/>
          <w:right w:val="none" w:sz="0" w:space="0" w:color="auto"/>
          <w:insideH w:val="single" w:sz="4" w:space="0" w:color="CBD5E0"/>
          <w:insideV w:val="none" w:sz="0" w:space="0" w:color="auto"/>
        </w:tblBorders>
      </w:tblPr>
      <w:tblGrid>
        <w:gridCol w:w="1872"/>
        <w:gridCol w:w="1872"/>
        <w:gridCol w:w="1872"/>
        <w:gridCol w:w="1872"/>
        <w:gridCol w:w="1872"/>
      </w:tblGrid>
      <w:tr>
        <w:tc>
          <w:tcPr>
            <w:tcW w:type="dxa" w:w="1728"/>
            <w:shd w:fill="1A365D"/>
            <w:tcMar>
              <w:top w:w="80" w:type="dxa"/>
              <w:bottom w:w="80" w:type="dxa"/>
              <w:left w:w="80" w:type="dxa"/>
              <w:right w:w="80" w:type="dxa"/>
            </w:tcMar>
          </w:tcPr>
          <w:p>
            <w:r>
              <w:rPr>
                <w:rFonts w:ascii="Calibri" w:hAnsi="Calibri"/>
                <w:b/>
                <w:color w:val="FFFFFF"/>
                <w:sz w:val="17"/>
              </w:rPr>
              <w:t>Column Name</w:t>
            </w:r>
          </w:p>
        </w:tc>
        <w:tc>
          <w:tcPr>
            <w:tcW w:type="dxa" w:w="1152"/>
            <w:shd w:fill="1A365D"/>
            <w:tcMar>
              <w:top w:w="80" w:type="dxa"/>
              <w:bottom w:w="80" w:type="dxa"/>
              <w:left w:w="80" w:type="dxa"/>
              <w:right w:w="80" w:type="dxa"/>
            </w:tcMar>
          </w:tcPr>
          <w:p>
            <w:r>
              <w:rPr>
                <w:rFonts w:ascii="Calibri" w:hAnsi="Calibri"/>
                <w:b/>
                <w:color w:val="FFFFFF"/>
                <w:sz w:val="17"/>
              </w:rPr>
              <w:t>Raw Type</w:t>
            </w:r>
          </w:p>
        </w:tc>
        <w:tc>
          <w:tcPr>
            <w:tcW w:type="dxa" w:w="1584"/>
            <w:shd w:fill="1A365D"/>
            <w:tcMar>
              <w:top w:w="80" w:type="dxa"/>
              <w:bottom w:w="80" w:type="dxa"/>
              <w:left w:w="80" w:type="dxa"/>
              <w:right w:w="80" w:type="dxa"/>
            </w:tcMar>
          </w:tcPr>
          <w:p>
            <w:r>
              <w:rPr>
                <w:rFonts w:ascii="Calibri" w:hAnsi="Calibri"/>
                <w:b/>
                <w:color w:val="FFFFFF"/>
                <w:sz w:val="17"/>
              </w:rPr>
              <w:t>Source Node</w:t>
            </w:r>
          </w:p>
        </w:tc>
        <w:tc>
          <w:tcPr>
            <w:tcW w:type="dxa" w:w="2592"/>
            <w:shd w:fill="1A365D"/>
            <w:tcMar>
              <w:top w:w="80" w:type="dxa"/>
              <w:bottom w:w="80" w:type="dxa"/>
              <w:left w:w="80" w:type="dxa"/>
              <w:right w:w="80" w:type="dxa"/>
            </w:tcMar>
          </w:tcPr>
          <w:p>
            <w:r>
              <w:rPr>
                <w:rFonts w:ascii="Calibri" w:hAnsi="Calibri"/>
                <w:b/>
                <w:color w:val="FFFFFF"/>
                <w:sz w:val="17"/>
              </w:rPr>
              <w:t>Semantic Business Meaning</w:t>
            </w:r>
          </w:p>
        </w:tc>
        <w:tc>
          <w:tcPr>
            <w:tcW w:type="dxa" w:w="2304"/>
            <w:shd w:fill="1A365D"/>
            <w:tcMar>
              <w:top w:w="80" w:type="dxa"/>
              <w:bottom w:w="80" w:type="dxa"/>
              <w:left w:w="80" w:type="dxa"/>
              <w:right w:w="80" w:type="dxa"/>
            </w:tcMar>
          </w:tcPr>
          <w:p>
            <w:r>
              <w:rPr>
                <w:rFonts w:ascii="Calibri" w:hAnsi="Calibri"/>
                <w:b/>
                <w:color w:val="FFFFFF"/>
                <w:sz w:val="17"/>
              </w:rPr>
              <w:t>Target Valid Domain / Rules</w:t>
            </w:r>
          </w:p>
        </w:tc>
      </w:tr>
      <w:tr>
        <w:tc>
          <w:tcPr>
            <w:tcW w:type="dxa" w:w="1728"/>
            <w:tcMar>
              <w:top w:w="50" w:type="dxa"/>
              <w:bottom w:w="50" w:type="dxa"/>
              <w:left w:w="70" w:type="dxa"/>
              <w:right w:w="70" w:type="dxa"/>
            </w:tcMar>
          </w:tcPr>
          <w:p>
            <w:pPr>
              <w:spacing w:before="0" w:after="0"/>
            </w:pPr>
            <w:r>
              <w:rPr>
                <w:rFonts w:ascii="Calibri" w:hAnsi="Calibri"/>
                <w:color w:val="2D3748"/>
                <w:sz w:val="16"/>
              </w:rPr>
              <w:t>shipment_id</w:t>
            </w:r>
          </w:p>
        </w:tc>
        <w:tc>
          <w:tcPr>
            <w:tcW w:type="dxa" w:w="1152"/>
            <w:tcMar>
              <w:top w:w="50" w:type="dxa"/>
              <w:bottom w:w="50" w:type="dxa"/>
              <w:left w:w="70" w:type="dxa"/>
              <w:right w:w="70" w:type="dxa"/>
            </w:tcMar>
          </w:tcPr>
          <w:p>
            <w:pPr>
              <w:spacing w:before="0" w:after="0"/>
            </w:pPr>
            <w:r>
              <w:rPr>
                <w:rFonts w:ascii="Calibri" w:hAnsi="Calibri"/>
                <w:color w:val="2D3748"/>
                <w:sz w:val="16"/>
              </w:rPr>
              <w:t>String</w:t>
            </w:r>
          </w:p>
        </w:tc>
        <w:tc>
          <w:tcPr>
            <w:tcW w:type="dxa" w:w="1584"/>
            <w:tcMar>
              <w:top w:w="50" w:type="dxa"/>
              <w:bottom w:w="50" w:type="dxa"/>
              <w:left w:w="70" w:type="dxa"/>
              <w:right w:w="70" w:type="dxa"/>
            </w:tcMar>
          </w:tcPr>
          <w:p>
            <w:pPr>
              <w:spacing w:before="0" w:after="0"/>
            </w:pPr>
            <w:r>
              <w:rPr>
                <w:rFonts w:ascii="Calibri" w:hAnsi="Calibri"/>
                <w:color w:val="2D3748"/>
                <w:sz w:val="16"/>
              </w:rPr>
              <w:t>TMS Dock Gate</w:t>
            </w:r>
          </w:p>
        </w:tc>
        <w:tc>
          <w:tcPr>
            <w:tcW w:type="dxa" w:w="2592"/>
            <w:tcMar>
              <w:top w:w="50" w:type="dxa"/>
              <w:bottom w:w="50" w:type="dxa"/>
              <w:left w:w="70" w:type="dxa"/>
              <w:right w:w="70" w:type="dxa"/>
            </w:tcMar>
          </w:tcPr>
          <w:p>
            <w:pPr>
              <w:spacing w:before="0" w:after="0"/>
            </w:pPr>
            <w:r>
              <w:rPr>
                <w:rFonts w:ascii="Calibri" w:hAnsi="Calibri"/>
                <w:color w:val="2D3748"/>
                <w:sz w:val="16"/>
              </w:rPr>
              <w:t>Unique freight consignment identifier</w:t>
            </w:r>
          </w:p>
        </w:tc>
        <w:tc>
          <w:tcPr>
            <w:tcW w:type="dxa" w:w="2304"/>
            <w:tcMar>
              <w:top w:w="50" w:type="dxa"/>
              <w:bottom w:w="50" w:type="dxa"/>
              <w:left w:w="70" w:type="dxa"/>
              <w:right w:w="70" w:type="dxa"/>
            </w:tcMar>
          </w:tcPr>
          <w:p>
            <w:pPr>
              <w:spacing w:before="0" w:after="0"/>
            </w:pPr>
            <w:r>
              <w:rPr>
                <w:rFonts w:ascii="Calibri" w:hAnsi="Calibri"/>
                <w:color w:val="2D3748"/>
                <w:sz w:val="16"/>
              </w:rPr>
              <w:t>Regex: ^SHP-[0-9]{8}$</w:t>
            </w:r>
          </w:p>
        </w:tc>
      </w:tr>
      <w:tr>
        <w:tc>
          <w:tcPr>
            <w:tcW w:type="dxa" w:w="1728"/>
            <w:tcMar>
              <w:top w:w="50" w:type="dxa"/>
              <w:bottom w:w="50" w:type="dxa"/>
              <w:left w:w="70" w:type="dxa"/>
              <w:right w:w="70" w:type="dxa"/>
            </w:tcMar>
            <w:shd w:fill="F7FAFC"/>
          </w:tcPr>
          <w:p>
            <w:pPr>
              <w:spacing w:before="0" w:after="0"/>
            </w:pPr>
            <w:r>
              <w:rPr>
                <w:rFonts w:ascii="Calibri" w:hAnsi="Calibri"/>
                <w:color w:val="2D3748"/>
                <w:sz w:val="16"/>
              </w:rPr>
              <w:t>order_id</w:t>
            </w:r>
          </w:p>
        </w:tc>
        <w:tc>
          <w:tcPr>
            <w:tcW w:type="dxa" w:w="1152"/>
            <w:tcMar>
              <w:top w:w="50" w:type="dxa"/>
              <w:bottom w:w="50" w:type="dxa"/>
              <w:left w:w="70" w:type="dxa"/>
              <w:right w:w="70" w:type="dxa"/>
            </w:tcMar>
            <w:shd w:fill="F7FAFC"/>
          </w:tcPr>
          <w:p>
            <w:pPr>
              <w:spacing w:before="0" w:after="0"/>
            </w:pPr>
            <w:r>
              <w:rPr>
                <w:rFonts w:ascii="Calibri" w:hAnsi="Calibri"/>
                <w:color w:val="2D3748"/>
                <w:sz w:val="16"/>
              </w:rPr>
              <w:t>String</w:t>
            </w:r>
          </w:p>
        </w:tc>
        <w:tc>
          <w:tcPr>
            <w:tcW w:type="dxa" w:w="1584"/>
            <w:tcMar>
              <w:top w:w="50" w:type="dxa"/>
              <w:bottom w:w="50" w:type="dxa"/>
              <w:left w:w="70" w:type="dxa"/>
              <w:right w:w="70" w:type="dxa"/>
            </w:tcMar>
            <w:shd w:fill="F7FAFC"/>
          </w:tcPr>
          <w:p>
            <w:pPr>
              <w:spacing w:before="0" w:after="0"/>
            </w:pPr>
            <w:r>
              <w:rPr>
                <w:rFonts w:ascii="Calibri" w:hAnsi="Calibri"/>
                <w:color w:val="2D3748"/>
                <w:sz w:val="16"/>
              </w:rPr>
              <w:t>ERP Checkout</w:t>
            </w:r>
          </w:p>
        </w:tc>
        <w:tc>
          <w:tcPr>
            <w:tcW w:type="dxa" w:w="2592"/>
            <w:tcMar>
              <w:top w:w="50" w:type="dxa"/>
              <w:bottom w:w="50" w:type="dxa"/>
              <w:left w:w="70" w:type="dxa"/>
              <w:right w:w="70" w:type="dxa"/>
            </w:tcMar>
            <w:shd w:fill="F7FAFC"/>
          </w:tcPr>
          <w:p>
            <w:pPr>
              <w:spacing w:before="0" w:after="0"/>
            </w:pPr>
            <w:r>
              <w:rPr>
                <w:rFonts w:ascii="Calibri" w:hAnsi="Calibri"/>
                <w:color w:val="2D3748"/>
                <w:sz w:val="16"/>
              </w:rPr>
              <w:t>Sales order commercial grouping reference</w:t>
            </w:r>
          </w:p>
        </w:tc>
        <w:tc>
          <w:tcPr>
            <w:tcW w:type="dxa" w:w="2304"/>
            <w:tcMar>
              <w:top w:w="50" w:type="dxa"/>
              <w:bottom w:w="50" w:type="dxa"/>
              <w:left w:w="70" w:type="dxa"/>
              <w:right w:w="70" w:type="dxa"/>
            </w:tcMar>
            <w:shd w:fill="F7FAFC"/>
          </w:tcPr>
          <w:p>
            <w:pPr>
              <w:spacing w:before="0" w:after="0"/>
            </w:pPr>
            <w:r>
              <w:rPr>
                <w:rFonts w:ascii="Calibri" w:hAnsi="Calibri"/>
                <w:color w:val="2D3748"/>
                <w:sz w:val="16"/>
              </w:rPr>
              <w:t>Regex: ^ORD-[0-9]{6}$</w:t>
            </w:r>
          </w:p>
        </w:tc>
      </w:tr>
      <w:tr>
        <w:tc>
          <w:tcPr>
            <w:tcW w:type="dxa" w:w="1728"/>
            <w:tcMar>
              <w:top w:w="50" w:type="dxa"/>
              <w:bottom w:w="50" w:type="dxa"/>
              <w:left w:w="70" w:type="dxa"/>
              <w:right w:w="70" w:type="dxa"/>
            </w:tcMar>
          </w:tcPr>
          <w:p>
            <w:pPr>
              <w:spacing w:before="0" w:after="0"/>
            </w:pPr>
            <w:r>
              <w:rPr>
                <w:rFonts w:ascii="Calibri" w:hAnsi="Calibri"/>
                <w:color w:val="2D3748"/>
                <w:sz w:val="16"/>
              </w:rPr>
              <w:t>carrier_name</w:t>
            </w:r>
          </w:p>
        </w:tc>
        <w:tc>
          <w:tcPr>
            <w:tcW w:type="dxa" w:w="1152"/>
            <w:tcMar>
              <w:top w:w="50" w:type="dxa"/>
              <w:bottom w:w="50" w:type="dxa"/>
              <w:left w:w="70" w:type="dxa"/>
              <w:right w:w="70" w:type="dxa"/>
            </w:tcMar>
          </w:tcPr>
          <w:p>
            <w:pPr>
              <w:spacing w:before="0" w:after="0"/>
            </w:pPr>
            <w:r>
              <w:rPr>
                <w:rFonts w:ascii="Calibri" w:hAnsi="Calibri"/>
                <w:color w:val="2D3748"/>
                <w:sz w:val="16"/>
              </w:rPr>
              <w:t>String</w:t>
            </w:r>
          </w:p>
        </w:tc>
        <w:tc>
          <w:tcPr>
            <w:tcW w:type="dxa" w:w="1584"/>
            <w:tcMar>
              <w:top w:w="50" w:type="dxa"/>
              <w:bottom w:w="50" w:type="dxa"/>
              <w:left w:w="70" w:type="dxa"/>
              <w:right w:w="70" w:type="dxa"/>
            </w:tcMar>
          </w:tcPr>
          <w:p>
            <w:pPr>
              <w:spacing w:before="0" w:after="0"/>
            </w:pPr>
            <w:r>
              <w:rPr>
                <w:rFonts w:ascii="Calibri" w:hAnsi="Calibri"/>
                <w:color w:val="2D3748"/>
                <w:sz w:val="16"/>
              </w:rPr>
              <w:t>TMS Master</w:t>
            </w:r>
          </w:p>
        </w:tc>
        <w:tc>
          <w:tcPr>
            <w:tcW w:type="dxa" w:w="2592"/>
            <w:tcMar>
              <w:top w:w="50" w:type="dxa"/>
              <w:bottom w:w="50" w:type="dxa"/>
              <w:left w:w="70" w:type="dxa"/>
              <w:right w:w="70" w:type="dxa"/>
            </w:tcMar>
          </w:tcPr>
          <w:p>
            <w:pPr>
              <w:spacing w:before="0" w:after="0"/>
            </w:pPr>
            <w:r>
              <w:rPr>
                <w:rFonts w:ascii="Calibri" w:hAnsi="Calibri"/>
                <w:color w:val="2D3748"/>
                <w:sz w:val="16"/>
              </w:rPr>
              <w:t>Contracted 3PL carrier or fleet service</w:t>
            </w:r>
          </w:p>
        </w:tc>
        <w:tc>
          <w:tcPr>
            <w:tcW w:type="dxa" w:w="2304"/>
            <w:tcMar>
              <w:top w:w="50" w:type="dxa"/>
              <w:bottom w:w="50" w:type="dxa"/>
              <w:left w:w="70" w:type="dxa"/>
              <w:right w:w="70" w:type="dxa"/>
            </w:tcMar>
          </w:tcPr>
          <w:p>
            <w:pPr>
              <w:spacing w:before="0" w:after="0"/>
            </w:pPr>
            <w:r>
              <w:rPr>
                <w:rFonts w:ascii="Calibri" w:hAnsi="Calibri"/>
                <w:color w:val="2D3748"/>
                <w:sz w:val="16"/>
              </w:rPr>
              <w:t>Categorical: FedEx, DHL, UPS, BlueDart</w:t>
            </w:r>
          </w:p>
        </w:tc>
      </w:tr>
      <w:tr>
        <w:tc>
          <w:tcPr>
            <w:tcW w:type="dxa" w:w="1728"/>
            <w:tcMar>
              <w:top w:w="50" w:type="dxa"/>
              <w:bottom w:w="50" w:type="dxa"/>
              <w:left w:w="70" w:type="dxa"/>
              <w:right w:w="70" w:type="dxa"/>
            </w:tcMar>
            <w:shd w:fill="F7FAFC"/>
          </w:tcPr>
          <w:p>
            <w:pPr>
              <w:spacing w:before="0" w:after="0"/>
            </w:pPr>
            <w:r>
              <w:rPr>
                <w:rFonts w:ascii="Calibri" w:hAnsi="Calibri"/>
                <w:color w:val="2D3748"/>
                <w:sz w:val="16"/>
              </w:rPr>
              <w:t>origin_hub</w:t>
            </w:r>
          </w:p>
        </w:tc>
        <w:tc>
          <w:tcPr>
            <w:tcW w:type="dxa" w:w="1152"/>
            <w:tcMar>
              <w:top w:w="50" w:type="dxa"/>
              <w:bottom w:w="50" w:type="dxa"/>
              <w:left w:w="70" w:type="dxa"/>
              <w:right w:w="70" w:type="dxa"/>
            </w:tcMar>
            <w:shd w:fill="F7FAFC"/>
          </w:tcPr>
          <w:p>
            <w:pPr>
              <w:spacing w:before="0" w:after="0"/>
            </w:pPr>
            <w:r>
              <w:rPr>
                <w:rFonts w:ascii="Calibri" w:hAnsi="Calibri"/>
                <w:color w:val="2D3748"/>
                <w:sz w:val="16"/>
              </w:rPr>
              <w:t>String</w:t>
            </w:r>
          </w:p>
        </w:tc>
        <w:tc>
          <w:tcPr>
            <w:tcW w:type="dxa" w:w="1584"/>
            <w:tcMar>
              <w:top w:w="50" w:type="dxa"/>
              <w:bottom w:w="50" w:type="dxa"/>
              <w:left w:w="70" w:type="dxa"/>
              <w:right w:w="70" w:type="dxa"/>
            </w:tcMar>
            <w:shd w:fill="F7FAFC"/>
          </w:tcPr>
          <w:p>
            <w:pPr>
              <w:spacing w:before="0" w:after="0"/>
            </w:pPr>
            <w:r>
              <w:rPr>
                <w:rFonts w:ascii="Calibri" w:hAnsi="Calibri"/>
                <w:color w:val="2D3748"/>
                <w:sz w:val="16"/>
              </w:rPr>
              <w:t>WMS Dock</w:t>
            </w:r>
          </w:p>
        </w:tc>
        <w:tc>
          <w:tcPr>
            <w:tcW w:type="dxa" w:w="2592"/>
            <w:tcMar>
              <w:top w:w="50" w:type="dxa"/>
              <w:bottom w:w="50" w:type="dxa"/>
              <w:left w:w="70" w:type="dxa"/>
              <w:right w:w="70" w:type="dxa"/>
            </w:tcMar>
            <w:shd w:fill="F7FAFC"/>
          </w:tcPr>
          <w:p>
            <w:pPr>
              <w:spacing w:before="0" w:after="0"/>
            </w:pPr>
            <w:r>
              <w:rPr>
                <w:rFonts w:ascii="Calibri" w:hAnsi="Calibri"/>
                <w:color w:val="2D3748"/>
                <w:sz w:val="16"/>
              </w:rPr>
              <w:t>Origin cross-dock fulfillment facility code</w:t>
            </w:r>
          </w:p>
        </w:tc>
        <w:tc>
          <w:tcPr>
            <w:tcW w:type="dxa" w:w="2304"/>
            <w:tcMar>
              <w:top w:w="50" w:type="dxa"/>
              <w:bottom w:w="50" w:type="dxa"/>
              <w:left w:w="70" w:type="dxa"/>
              <w:right w:w="70" w:type="dxa"/>
            </w:tcMar>
            <w:shd w:fill="F7FAFC"/>
          </w:tcPr>
          <w:p>
            <w:pPr>
              <w:spacing w:before="0" w:after="0"/>
            </w:pPr>
            <w:r>
              <w:rPr>
                <w:rFonts w:ascii="Calibri" w:hAnsi="Calibri"/>
                <w:color w:val="2D3748"/>
                <w:sz w:val="16"/>
              </w:rPr>
              <w:t>Categorical: WH-01 through WH-12</w:t>
            </w:r>
          </w:p>
        </w:tc>
      </w:tr>
      <w:tr>
        <w:tc>
          <w:tcPr>
            <w:tcW w:type="dxa" w:w="1728"/>
            <w:tcMar>
              <w:top w:w="50" w:type="dxa"/>
              <w:bottom w:w="50" w:type="dxa"/>
              <w:left w:w="70" w:type="dxa"/>
              <w:right w:w="70" w:type="dxa"/>
            </w:tcMar>
          </w:tcPr>
          <w:p>
            <w:pPr>
              <w:spacing w:before="0" w:after="0"/>
            </w:pPr>
            <w:r>
              <w:rPr>
                <w:rFonts w:ascii="Calibri" w:hAnsi="Calibri"/>
                <w:color w:val="2D3748"/>
                <w:sz w:val="16"/>
              </w:rPr>
              <w:t>destination_zone</w:t>
            </w:r>
          </w:p>
        </w:tc>
        <w:tc>
          <w:tcPr>
            <w:tcW w:type="dxa" w:w="1152"/>
            <w:tcMar>
              <w:top w:w="50" w:type="dxa"/>
              <w:bottom w:w="50" w:type="dxa"/>
              <w:left w:w="70" w:type="dxa"/>
              <w:right w:w="70" w:type="dxa"/>
            </w:tcMar>
          </w:tcPr>
          <w:p>
            <w:pPr>
              <w:spacing w:before="0" w:after="0"/>
            </w:pPr>
            <w:r>
              <w:rPr>
                <w:rFonts w:ascii="Calibri" w:hAnsi="Calibri"/>
                <w:color w:val="2D3748"/>
                <w:sz w:val="16"/>
              </w:rPr>
              <w:t>String</w:t>
            </w:r>
          </w:p>
        </w:tc>
        <w:tc>
          <w:tcPr>
            <w:tcW w:type="dxa" w:w="1584"/>
            <w:tcMar>
              <w:top w:w="50" w:type="dxa"/>
              <w:bottom w:w="50" w:type="dxa"/>
              <w:left w:w="70" w:type="dxa"/>
              <w:right w:w="70" w:type="dxa"/>
            </w:tcMar>
          </w:tcPr>
          <w:p>
            <w:pPr>
              <w:spacing w:before="0" w:after="0"/>
            </w:pPr>
            <w:r>
              <w:rPr>
                <w:rFonts w:ascii="Calibri" w:hAnsi="Calibri"/>
                <w:color w:val="2D3748"/>
                <w:sz w:val="16"/>
              </w:rPr>
              <w:t>Geocoder</w:t>
            </w:r>
          </w:p>
        </w:tc>
        <w:tc>
          <w:tcPr>
            <w:tcW w:type="dxa" w:w="2592"/>
            <w:tcMar>
              <w:top w:w="50" w:type="dxa"/>
              <w:bottom w:w="50" w:type="dxa"/>
              <w:left w:w="70" w:type="dxa"/>
              <w:right w:w="70" w:type="dxa"/>
            </w:tcMar>
          </w:tcPr>
          <w:p>
            <w:pPr>
              <w:spacing w:before="0" w:after="0"/>
            </w:pPr>
            <w:r>
              <w:rPr>
                <w:rFonts w:ascii="Calibri" w:hAnsi="Calibri"/>
                <w:color w:val="2D3748"/>
                <w:sz w:val="16"/>
              </w:rPr>
              <w:t>Designated delivery territory routing zone</w:t>
            </w:r>
          </w:p>
        </w:tc>
        <w:tc>
          <w:tcPr>
            <w:tcW w:type="dxa" w:w="2304"/>
            <w:tcMar>
              <w:top w:w="50" w:type="dxa"/>
              <w:bottom w:w="50" w:type="dxa"/>
              <w:left w:w="70" w:type="dxa"/>
              <w:right w:w="70" w:type="dxa"/>
            </w:tcMar>
          </w:tcPr>
          <w:p>
            <w:pPr>
              <w:spacing w:before="0" w:after="0"/>
            </w:pPr>
            <w:r>
              <w:rPr>
                <w:rFonts w:ascii="Calibri" w:hAnsi="Calibri"/>
                <w:color w:val="2D3748"/>
                <w:sz w:val="16"/>
              </w:rPr>
              <w:t>Categorical: Zone-A through Zone-E</w:t>
            </w:r>
          </w:p>
        </w:tc>
      </w:tr>
      <w:tr>
        <w:tc>
          <w:tcPr>
            <w:tcW w:type="dxa" w:w="1728"/>
            <w:tcMar>
              <w:top w:w="50" w:type="dxa"/>
              <w:bottom w:w="50" w:type="dxa"/>
              <w:left w:w="70" w:type="dxa"/>
              <w:right w:w="70" w:type="dxa"/>
            </w:tcMar>
            <w:shd w:fill="F7FAFC"/>
          </w:tcPr>
          <w:p>
            <w:pPr>
              <w:spacing w:before="0" w:after="0"/>
            </w:pPr>
            <w:r>
              <w:rPr>
                <w:rFonts w:ascii="Calibri" w:hAnsi="Calibri"/>
                <w:color w:val="2D3748"/>
                <w:sz w:val="16"/>
              </w:rPr>
              <w:t>vehicle_type</w:t>
            </w:r>
          </w:p>
        </w:tc>
        <w:tc>
          <w:tcPr>
            <w:tcW w:type="dxa" w:w="1152"/>
            <w:tcMar>
              <w:top w:w="50" w:type="dxa"/>
              <w:bottom w:w="50" w:type="dxa"/>
              <w:left w:w="70" w:type="dxa"/>
              <w:right w:w="70" w:type="dxa"/>
            </w:tcMar>
            <w:shd w:fill="F7FAFC"/>
          </w:tcPr>
          <w:p>
            <w:pPr>
              <w:spacing w:before="0" w:after="0"/>
            </w:pPr>
            <w:r>
              <w:rPr>
                <w:rFonts w:ascii="Calibri" w:hAnsi="Calibri"/>
                <w:color w:val="2D3748"/>
                <w:sz w:val="16"/>
              </w:rPr>
              <w:t>String</w:t>
            </w:r>
          </w:p>
        </w:tc>
        <w:tc>
          <w:tcPr>
            <w:tcW w:type="dxa" w:w="1584"/>
            <w:tcMar>
              <w:top w:w="50" w:type="dxa"/>
              <w:bottom w:w="50" w:type="dxa"/>
              <w:left w:w="70" w:type="dxa"/>
              <w:right w:w="70" w:type="dxa"/>
            </w:tcMar>
            <w:shd w:fill="F7FAFC"/>
          </w:tcPr>
          <w:p>
            <w:pPr>
              <w:spacing w:before="0" w:after="0"/>
            </w:pPr>
            <w:r>
              <w:rPr>
                <w:rFonts w:ascii="Calibri" w:hAnsi="Calibri"/>
                <w:color w:val="2D3748"/>
                <w:sz w:val="16"/>
              </w:rPr>
              <w:t>Fleet Master</w:t>
            </w:r>
          </w:p>
        </w:tc>
        <w:tc>
          <w:tcPr>
            <w:tcW w:type="dxa" w:w="2592"/>
            <w:tcMar>
              <w:top w:w="50" w:type="dxa"/>
              <w:bottom w:w="50" w:type="dxa"/>
              <w:left w:w="70" w:type="dxa"/>
              <w:right w:w="70" w:type="dxa"/>
            </w:tcMar>
            <w:shd w:fill="F7FAFC"/>
          </w:tcPr>
          <w:p>
            <w:pPr>
              <w:spacing w:before="0" w:after="0"/>
            </w:pPr>
            <w:r>
              <w:rPr>
                <w:rFonts w:ascii="Calibri" w:hAnsi="Calibri"/>
                <w:color w:val="2D3748"/>
                <w:sz w:val="16"/>
              </w:rPr>
              <w:t>Physical fleet delivery asset classification</w:t>
            </w:r>
          </w:p>
        </w:tc>
        <w:tc>
          <w:tcPr>
            <w:tcW w:type="dxa" w:w="2304"/>
            <w:tcMar>
              <w:top w:w="50" w:type="dxa"/>
              <w:bottom w:w="50" w:type="dxa"/>
              <w:left w:w="70" w:type="dxa"/>
              <w:right w:w="70" w:type="dxa"/>
            </w:tcMar>
            <w:shd w:fill="F7FAFC"/>
          </w:tcPr>
          <w:p>
            <w:pPr>
              <w:spacing w:before="0" w:after="0"/>
            </w:pPr>
            <w:r>
              <w:rPr>
                <w:rFonts w:ascii="Calibri" w:hAnsi="Calibri"/>
                <w:color w:val="2D3748"/>
                <w:sz w:val="16"/>
              </w:rPr>
              <w:t>Categorical: EV Van, Sprinter, 24ft Truck</w:t>
            </w:r>
          </w:p>
        </w:tc>
      </w:tr>
      <w:tr>
        <w:tc>
          <w:tcPr>
            <w:tcW w:type="dxa" w:w="1728"/>
            <w:tcMar>
              <w:top w:w="50" w:type="dxa"/>
              <w:bottom w:w="50" w:type="dxa"/>
              <w:left w:w="70" w:type="dxa"/>
              <w:right w:w="70" w:type="dxa"/>
            </w:tcMar>
          </w:tcPr>
          <w:p>
            <w:pPr>
              <w:spacing w:before="0" w:after="0"/>
            </w:pPr>
            <w:r>
              <w:rPr>
                <w:rFonts w:ascii="Calibri" w:hAnsi="Calibri"/>
                <w:color w:val="2D3748"/>
                <w:sz w:val="16"/>
              </w:rPr>
              <w:t>dispatch_timestamp</w:t>
            </w:r>
          </w:p>
        </w:tc>
        <w:tc>
          <w:tcPr>
            <w:tcW w:type="dxa" w:w="1152"/>
            <w:tcMar>
              <w:top w:w="50" w:type="dxa"/>
              <w:bottom w:w="50" w:type="dxa"/>
              <w:left w:w="70" w:type="dxa"/>
              <w:right w:w="70" w:type="dxa"/>
            </w:tcMar>
          </w:tcPr>
          <w:p>
            <w:pPr>
              <w:spacing w:before="0" w:after="0"/>
            </w:pPr>
            <w:r>
              <w:rPr>
                <w:rFonts w:ascii="Calibri" w:hAnsi="Calibri"/>
                <w:color w:val="2D3748"/>
                <w:sz w:val="16"/>
              </w:rPr>
              <w:t>String</w:t>
            </w:r>
          </w:p>
        </w:tc>
        <w:tc>
          <w:tcPr>
            <w:tcW w:type="dxa" w:w="1584"/>
            <w:tcMar>
              <w:top w:w="50" w:type="dxa"/>
              <w:bottom w:w="50" w:type="dxa"/>
              <w:left w:w="70" w:type="dxa"/>
              <w:right w:w="70" w:type="dxa"/>
            </w:tcMar>
          </w:tcPr>
          <w:p>
            <w:pPr>
              <w:spacing w:before="0" w:after="0"/>
            </w:pPr>
            <w:r>
              <w:rPr>
                <w:rFonts w:ascii="Calibri" w:hAnsi="Calibri"/>
                <w:color w:val="2D3748"/>
                <w:sz w:val="16"/>
              </w:rPr>
              <w:t>TMS RFID</w:t>
            </w:r>
          </w:p>
        </w:tc>
        <w:tc>
          <w:tcPr>
            <w:tcW w:type="dxa" w:w="2592"/>
            <w:tcMar>
              <w:top w:w="50" w:type="dxa"/>
              <w:bottom w:w="50" w:type="dxa"/>
              <w:left w:w="70" w:type="dxa"/>
              <w:right w:w="70" w:type="dxa"/>
            </w:tcMar>
          </w:tcPr>
          <w:p>
            <w:pPr>
              <w:spacing w:before="0" w:after="0"/>
            </w:pPr>
            <w:r>
              <w:rPr>
                <w:rFonts w:ascii="Calibri" w:hAnsi="Calibri"/>
                <w:color w:val="2D3748"/>
                <w:sz w:val="16"/>
              </w:rPr>
              <w:t>Departure timestamp from fulfillment terminal</w:t>
            </w:r>
          </w:p>
        </w:tc>
        <w:tc>
          <w:tcPr>
            <w:tcW w:type="dxa" w:w="2304"/>
            <w:tcMar>
              <w:top w:w="50" w:type="dxa"/>
              <w:bottom w:w="50" w:type="dxa"/>
              <w:left w:w="70" w:type="dxa"/>
              <w:right w:w="70" w:type="dxa"/>
            </w:tcMar>
          </w:tcPr>
          <w:p>
            <w:pPr>
              <w:spacing w:before="0" w:after="0"/>
            </w:pPr>
            <w:r>
              <w:rPr>
                <w:rFonts w:ascii="Calibri" w:hAnsi="Calibri"/>
                <w:color w:val="2D3748"/>
                <w:sz w:val="16"/>
              </w:rPr>
              <w:t>ISO-8601: YYYY-MM-DD HH:MM:SS (UTC)</w:t>
            </w:r>
          </w:p>
        </w:tc>
      </w:tr>
      <w:tr>
        <w:tc>
          <w:tcPr>
            <w:tcW w:type="dxa" w:w="1728"/>
            <w:tcMar>
              <w:top w:w="50" w:type="dxa"/>
              <w:bottom w:w="50" w:type="dxa"/>
              <w:left w:w="70" w:type="dxa"/>
              <w:right w:w="70" w:type="dxa"/>
            </w:tcMar>
            <w:shd w:fill="F7FAFC"/>
          </w:tcPr>
          <w:p>
            <w:pPr>
              <w:spacing w:before="0" w:after="0"/>
            </w:pPr>
            <w:r>
              <w:rPr>
                <w:rFonts w:ascii="Calibri" w:hAnsi="Calibri"/>
                <w:color w:val="2D3748"/>
                <w:sz w:val="16"/>
              </w:rPr>
              <w:t>promised_sla_timestamp</w:t>
            </w:r>
          </w:p>
        </w:tc>
        <w:tc>
          <w:tcPr>
            <w:tcW w:type="dxa" w:w="1152"/>
            <w:tcMar>
              <w:top w:w="50" w:type="dxa"/>
              <w:bottom w:w="50" w:type="dxa"/>
              <w:left w:w="70" w:type="dxa"/>
              <w:right w:w="70" w:type="dxa"/>
            </w:tcMar>
            <w:shd w:fill="F7FAFC"/>
          </w:tcPr>
          <w:p>
            <w:pPr>
              <w:spacing w:before="0" w:after="0"/>
            </w:pPr>
            <w:r>
              <w:rPr>
                <w:rFonts w:ascii="Calibri" w:hAnsi="Calibri"/>
                <w:color w:val="2D3748"/>
                <w:sz w:val="16"/>
              </w:rPr>
              <w:t>String</w:t>
            </w:r>
          </w:p>
        </w:tc>
        <w:tc>
          <w:tcPr>
            <w:tcW w:type="dxa" w:w="1584"/>
            <w:tcMar>
              <w:top w:w="50" w:type="dxa"/>
              <w:bottom w:w="50" w:type="dxa"/>
              <w:left w:w="70" w:type="dxa"/>
              <w:right w:w="70" w:type="dxa"/>
            </w:tcMar>
            <w:shd w:fill="F7FAFC"/>
          </w:tcPr>
          <w:p>
            <w:pPr>
              <w:spacing w:before="0" w:after="0"/>
            </w:pPr>
            <w:r>
              <w:rPr>
                <w:rFonts w:ascii="Calibri" w:hAnsi="Calibri"/>
                <w:color w:val="2D3748"/>
                <w:sz w:val="16"/>
              </w:rPr>
              <w:t>ERP Checkout</w:t>
            </w:r>
          </w:p>
        </w:tc>
        <w:tc>
          <w:tcPr>
            <w:tcW w:type="dxa" w:w="2592"/>
            <w:tcMar>
              <w:top w:w="50" w:type="dxa"/>
              <w:bottom w:w="50" w:type="dxa"/>
              <w:left w:w="70" w:type="dxa"/>
              <w:right w:w="70" w:type="dxa"/>
            </w:tcMar>
            <w:shd w:fill="F7FAFC"/>
          </w:tcPr>
          <w:p>
            <w:pPr>
              <w:spacing w:before="0" w:after="0"/>
            </w:pPr>
            <w:r>
              <w:rPr>
                <w:rFonts w:ascii="Calibri" w:hAnsi="Calibri"/>
                <w:color w:val="2D3748"/>
                <w:sz w:val="16"/>
              </w:rPr>
              <w:t>Contractually guaranteed delivery deadline</w:t>
            </w:r>
          </w:p>
        </w:tc>
        <w:tc>
          <w:tcPr>
            <w:tcW w:type="dxa" w:w="2304"/>
            <w:tcMar>
              <w:top w:w="50" w:type="dxa"/>
              <w:bottom w:w="50" w:type="dxa"/>
              <w:left w:w="70" w:type="dxa"/>
              <w:right w:w="70" w:type="dxa"/>
            </w:tcMar>
            <w:shd w:fill="F7FAFC"/>
          </w:tcPr>
          <w:p>
            <w:pPr>
              <w:spacing w:before="0" w:after="0"/>
            </w:pPr>
            <w:r>
              <w:rPr>
                <w:rFonts w:ascii="Calibri" w:hAnsi="Calibri"/>
                <w:color w:val="2D3748"/>
                <w:sz w:val="16"/>
              </w:rPr>
              <w:t>ISO-8601: YYYY-MM-DD HH:MM:SS (UTC)</w:t>
            </w:r>
          </w:p>
        </w:tc>
      </w:tr>
      <w:tr>
        <w:tc>
          <w:tcPr>
            <w:tcW w:type="dxa" w:w="1728"/>
            <w:tcMar>
              <w:top w:w="50" w:type="dxa"/>
              <w:bottom w:w="50" w:type="dxa"/>
              <w:left w:w="70" w:type="dxa"/>
              <w:right w:w="70" w:type="dxa"/>
            </w:tcMar>
          </w:tcPr>
          <w:p>
            <w:pPr>
              <w:spacing w:before="0" w:after="0"/>
            </w:pPr>
            <w:r>
              <w:rPr>
                <w:rFonts w:ascii="Calibri" w:hAnsi="Calibri"/>
                <w:color w:val="2D3748"/>
                <w:sz w:val="16"/>
              </w:rPr>
              <w:t>actual_delivery_timestamp</w:t>
            </w:r>
          </w:p>
        </w:tc>
        <w:tc>
          <w:tcPr>
            <w:tcW w:type="dxa" w:w="1152"/>
            <w:tcMar>
              <w:top w:w="50" w:type="dxa"/>
              <w:bottom w:w="50" w:type="dxa"/>
              <w:left w:w="70" w:type="dxa"/>
              <w:right w:w="70" w:type="dxa"/>
            </w:tcMar>
          </w:tcPr>
          <w:p>
            <w:pPr>
              <w:spacing w:before="0" w:after="0"/>
            </w:pPr>
            <w:r>
              <w:rPr>
                <w:rFonts w:ascii="Calibri" w:hAnsi="Calibri"/>
                <w:color w:val="2D3748"/>
                <w:sz w:val="16"/>
              </w:rPr>
              <w:t>String</w:t>
            </w:r>
          </w:p>
        </w:tc>
        <w:tc>
          <w:tcPr>
            <w:tcW w:type="dxa" w:w="1584"/>
            <w:tcMar>
              <w:top w:w="50" w:type="dxa"/>
              <w:bottom w:w="50" w:type="dxa"/>
              <w:left w:w="70" w:type="dxa"/>
              <w:right w:w="70" w:type="dxa"/>
            </w:tcMar>
          </w:tcPr>
          <w:p>
            <w:pPr>
              <w:spacing w:before="0" w:after="0"/>
            </w:pPr>
            <w:r>
              <w:rPr>
                <w:rFonts w:ascii="Calibri" w:hAnsi="Calibri"/>
                <w:color w:val="2D3748"/>
                <w:sz w:val="16"/>
              </w:rPr>
              <w:t>Driver POD</w:t>
            </w:r>
          </w:p>
        </w:tc>
        <w:tc>
          <w:tcPr>
            <w:tcW w:type="dxa" w:w="2592"/>
            <w:tcMar>
              <w:top w:w="50" w:type="dxa"/>
              <w:bottom w:w="50" w:type="dxa"/>
              <w:left w:w="70" w:type="dxa"/>
              <w:right w:w="70" w:type="dxa"/>
            </w:tcMar>
          </w:tcPr>
          <w:p>
            <w:pPr>
              <w:spacing w:before="0" w:after="0"/>
            </w:pPr>
            <w:r>
              <w:rPr>
                <w:rFonts w:ascii="Calibri" w:hAnsi="Calibri"/>
                <w:color w:val="2D3748"/>
                <w:sz w:val="16"/>
              </w:rPr>
              <w:t>Consignee electronic signature timestamp</w:t>
            </w:r>
          </w:p>
        </w:tc>
        <w:tc>
          <w:tcPr>
            <w:tcW w:type="dxa" w:w="2304"/>
            <w:tcMar>
              <w:top w:w="50" w:type="dxa"/>
              <w:bottom w:w="50" w:type="dxa"/>
              <w:left w:w="70" w:type="dxa"/>
              <w:right w:w="70" w:type="dxa"/>
            </w:tcMar>
          </w:tcPr>
          <w:p>
            <w:pPr>
              <w:spacing w:before="0" w:after="0"/>
            </w:pPr>
            <w:r>
              <w:rPr>
                <w:rFonts w:ascii="Calibri" w:hAnsi="Calibri"/>
                <w:color w:val="2D3748"/>
                <w:sz w:val="16"/>
              </w:rPr>
              <w:t>ISO-8601: YYYY-MM-DD HH:MM:SS (UTC)</w:t>
            </w:r>
          </w:p>
        </w:tc>
      </w:tr>
      <w:tr>
        <w:tc>
          <w:tcPr>
            <w:tcW w:type="dxa" w:w="1728"/>
            <w:tcMar>
              <w:top w:w="50" w:type="dxa"/>
              <w:bottom w:w="50" w:type="dxa"/>
              <w:left w:w="70" w:type="dxa"/>
              <w:right w:w="70" w:type="dxa"/>
            </w:tcMar>
            <w:shd w:fill="F7FAFC"/>
          </w:tcPr>
          <w:p>
            <w:pPr>
              <w:spacing w:before="0" w:after="0"/>
            </w:pPr>
            <w:r>
              <w:rPr>
                <w:rFonts w:ascii="Calibri" w:hAnsi="Calibri"/>
                <w:color w:val="2D3748"/>
                <w:sz w:val="16"/>
              </w:rPr>
              <w:t>dest_latitude</w:t>
            </w:r>
          </w:p>
        </w:tc>
        <w:tc>
          <w:tcPr>
            <w:tcW w:type="dxa" w:w="1152"/>
            <w:tcMar>
              <w:top w:w="50" w:type="dxa"/>
              <w:bottom w:w="50" w:type="dxa"/>
              <w:left w:w="70" w:type="dxa"/>
              <w:right w:w="70" w:type="dxa"/>
            </w:tcMar>
            <w:shd w:fill="F7FAFC"/>
          </w:tcPr>
          <w:p>
            <w:pPr>
              <w:spacing w:before="0" w:after="0"/>
            </w:pPr>
            <w:r>
              <w:rPr>
                <w:rFonts w:ascii="Calibri" w:hAnsi="Calibri"/>
                <w:color w:val="2D3748"/>
                <w:sz w:val="16"/>
              </w:rPr>
              <w:t>Float64</w:t>
            </w:r>
          </w:p>
        </w:tc>
        <w:tc>
          <w:tcPr>
            <w:tcW w:type="dxa" w:w="1584"/>
            <w:tcMar>
              <w:top w:w="50" w:type="dxa"/>
              <w:bottom w:w="50" w:type="dxa"/>
              <w:left w:w="70" w:type="dxa"/>
              <w:right w:w="70" w:type="dxa"/>
            </w:tcMar>
            <w:shd w:fill="F7FAFC"/>
          </w:tcPr>
          <w:p>
            <w:pPr>
              <w:spacing w:before="0" w:after="0"/>
            </w:pPr>
            <w:r>
              <w:rPr>
                <w:rFonts w:ascii="Calibri" w:hAnsi="Calibri"/>
                <w:color w:val="2D3748"/>
                <w:sz w:val="16"/>
              </w:rPr>
              <w:t>Geocoder</w:t>
            </w:r>
          </w:p>
        </w:tc>
        <w:tc>
          <w:tcPr>
            <w:tcW w:type="dxa" w:w="2592"/>
            <w:tcMar>
              <w:top w:w="50" w:type="dxa"/>
              <w:bottom w:w="50" w:type="dxa"/>
              <w:left w:w="70" w:type="dxa"/>
              <w:right w:w="70" w:type="dxa"/>
            </w:tcMar>
            <w:shd w:fill="F7FAFC"/>
          </w:tcPr>
          <w:p>
            <w:pPr>
              <w:spacing w:before="0" w:after="0"/>
            </w:pPr>
            <w:r>
              <w:rPr>
                <w:rFonts w:ascii="Calibri" w:hAnsi="Calibri"/>
                <w:color w:val="2D3748"/>
                <w:sz w:val="16"/>
              </w:rPr>
              <w:t>Geocoded destination latitude coordinate</w:t>
            </w:r>
          </w:p>
        </w:tc>
        <w:tc>
          <w:tcPr>
            <w:tcW w:type="dxa" w:w="2304"/>
            <w:tcMar>
              <w:top w:w="50" w:type="dxa"/>
              <w:bottom w:w="50" w:type="dxa"/>
              <w:left w:w="70" w:type="dxa"/>
              <w:right w:w="70" w:type="dxa"/>
            </w:tcMar>
            <w:shd w:fill="F7FAFC"/>
          </w:tcPr>
          <w:p>
            <w:pPr>
              <w:spacing w:before="0" w:after="0"/>
            </w:pPr>
            <w:r>
              <w:rPr>
                <w:rFonts w:ascii="Calibri" w:hAnsi="Calibri"/>
                <w:color w:val="2D3748"/>
                <w:sz w:val="16"/>
              </w:rPr>
              <w:t>Metro Bounds: [18.40°, 18.70°]</w:t>
            </w:r>
          </w:p>
        </w:tc>
      </w:tr>
      <w:tr>
        <w:tc>
          <w:tcPr>
            <w:tcW w:type="dxa" w:w="1728"/>
            <w:tcMar>
              <w:top w:w="50" w:type="dxa"/>
              <w:bottom w:w="50" w:type="dxa"/>
              <w:left w:w="70" w:type="dxa"/>
              <w:right w:w="70" w:type="dxa"/>
            </w:tcMar>
          </w:tcPr>
          <w:p>
            <w:pPr>
              <w:spacing w:before="0" w:after="0"/>
            </w:pPr>
            <w:r>
              <w:rPr>
                <w:rFonts w:ascii="Calibri" w:hAnsi="Calibri"/>
                <w:color w:val="2D3748"/>
                <w:sz w:val="16"/>
              </w:rPr>
              <w:t>dest_longitude</w:t>
            </w:r>
          </w:p>
        </w:tc>
        <w:tc>
          <w:tcPr>
            <w:tcW w:type="dxa" w:w="1152"/>
            <w:tcMar>
              <w:top w:w="50" w:type="dxa"/>
              <w:bottom w:w="50" w:type="dxa"/>
              <w:left w:w="70" w:type="dxa"/>
              <w:right w:w="70" w:type="dxa"/>
            </w:tcMar>
          </w:tcPr>
          <w:p>
            <w:pPr>
              <w:spacing w:before="0" w:after="0"/>
            </w:pPr>
            <w:r>
              <w:rPr>
                <w:rFonts w:ascii="Calibri" w:hAnsi="Calibri"/>
                <w:color w:val="2D3748"/>
                <w:sz w:val="16"/>
              </w:rPr>
              <w:t>Float64</w:t>
            </w:r>
          </w:p>
        </w:tc>
        <w:tc>
          <w:tcPr>
            <w:tcW w:type="dxa" w:w="1584"/>
            <w:tcMar>
              <w:top w:w="50" w:type="dxa"/>
              <w:bottom w:w="50" w:type="dxa"/>
              <w:left w:w="70" w:type="dxa"/>
              <w:right w:w="70" w:type="dxa"/>
            </w:tcMar>
          </w:tcPr>
          <w:p>
            <w:pPr>
              <w:spacing w:before="0" w:after="0"/>
            </w:pPr>
            <w:r>
              <w:rPr>
                <w:rFonts w:ascii="Calibri" w:hAnsi="Calibri"/>
                <w:color w:val="2D3748"/>
                <w:sz w:val="16"/>
              </w:rPr>
              <w:t>Geocoder</w:t>
            </w:r>
          </w:p>
        </w:tc>
        <w:tc>
          <w:tcPr>
            <w:tcW w:type="dxa" w:w="2592"/>
            <w:tcMar>
              <w:top w:w="50" w:type="dxa"/>
              <w:bottom w:w="50" w:type="dxa"/>
              <w:left w:w="70" w:type="dxa"/>
              <w:right w:w="70" w:type="dxa"/>
            </w:tcMar>
          </w:tcPr>
          <w:p>
            <w:pPr>
              <w:spacing w:before="0" w:after="0"/>
            </w:pPr>
            <w:r>
              <w:rPr>
                <w:rFonts w:ascii="Calibri" w:hAnsi="Calibri"/>
                <w:color w:val="2D3748"/>
                <w:sz w:val="16"/>
              </w:rPr>
              <w:t>Geocoded destination longitude coordinate</w:t>
            </w:r>
          </w:p>
        </w:tc>
        <w:tc>
          <w:tcPr>
            <w:tcW w:type="dxa" w:w="2304"/>
            <w:tcMar>
              <w:top w:w="50" w:type="dxa"/>
              <w:bottom w:w="50" w:type="dxa"/>
              <w:left w:w="70" w:type="dxa"/>
              <w:right w:w="70" w:type="dxa"/>
            </w:tcMar>
          </w:tcPr>
          <w:p>
            <w:pPr>
              <w:spacing w:before="0" w:after="0"/>
            </w:pPr>
            <w:r>
              <w:rPr>
                <w:rFonts w:ascii="Calibri" w:hAnsi="Calibri"/>
                <w:color w:val="2D3748"/>
                <w:sz w:val="16"/>
              </w:rPr>
              <w:t>Metro Bounds: [73.75°, 74.00°]</w:t>
            </w:r>
          </w:p>
        </w:tc>
      </w:tr>
      <w:tr>
        <w:tc>
          <w:tcPr>
            <w:tcW w:type="dxa" w:w="1728"/>
            <w:tcMar>
              <w:top w:w="50" w:type="dxa"/>
              <w:bottom w:w="50" w:type="dxa"/>
              <w:left w:w="70" w:type="dxa"/>
              <w:right w:w="70" w:type="dxa"/>
            </w:tcMar>
            <w:shd w:fill="F7FAFC"/>
          </w:tcPr>
          <w:p>
            <w:pPr>
              <w:spacing w:before="0" w:after="0"/>
            </w:pPr>
            <w:r>
              <w:rPr>
                <w:rFonts w:ascii="Calibri" w:hAnsi="Calibri"/>
                <w:color w:val="2D3748"/>
                <w:sz w:val="16"/>
              </w:rPr>
              <w:t>cargo_weight_kg</w:t>
            </w:r>
          </w:p>
        </w:tc>
        <w:tc>
          <w:tcPr>
            <w:tcW w:type="dxa" w:w="1152"/>
            <w:tcMar>
              <w:top w:w="50" w:type="dxa"/>
              <w:bottom w:w="50" w:type="dxa"/>
              <w:left w:w="70" w:type="dxa"/>
              <w:right w:w="70" w:type="dxa"/>
            </w:tcMar>
            <w:shd w:fill="F7FAFC"/>
          </w:tcPr>
          <w:p>
            <w:pPr>
              <w:spacing w:before="0" w:after="0"/>
            </w:pPr>
            <w:r>
              <w:rPr>
                <w:rFonts w:ascii="Calibri" w:hAnsi="Calibri"/>
                <w:color w:val="2D3748"/>
                <w:sz w:val="16"/>
              </w:rPr>
              <w:t>Float64</w:t>
            </w:r>
          </w:p>
        </w:tc>
        <w:tc>
          <w:tcPr>
            <w:tcW w:type="dxa" w:w="1584"/>
            <w:tcMar>
              <w:top w:w="50" w:type="dxa"/>
              <w:bottom w:w="50" w:type="dxa"/>
              <w:left w:w="70" w:type="dxa"/>
              <w:right w:w="70" w:type="dxa"/>
            </w:tcMar>
            <w:shd w:fill="F7FAFC"/>
          </w:tcPr>
          <w:p>
            <w:pPr>
              <w:spacing w:before="0" w:after="0"/>
            </w:pPr>
            <w:r>
              <w:rPr>
                <w:rFonts w:ascii="Calibri" w:hAnsi="Calibri"/>
                <w:color w:val="2D3748"/>
                <w:sz w:val="16"/>
              </w:rPr>
              <w:t>Conveyor Scale</w:t>
            </w:r>
          </w:p>
        </w:tc>
        <w:tc>
          <w:tcPr>
            <w:tcW w:type="dxa" w:w="2592"/>
            <w:tcMar>
              <w:top w:w="50" w:type="dxa"/>
              <w:bottom w:w="50" w:type="dxa"/>
              <w:left w:w="70" w:type="dxa"/>
              <w:right w:w="70" w:type="dxa"/>
            </w:tcMar>
            <w:shd w:fill="F7FAFC"/>
          </w:tcPr>
          <w:p>
            <w:pPr>
              <w:spacing w:before="0" w:after="0"/>
            </w:pPr>
            <w:r>
              <w:rPr>
                <w:rFonts w:ascii="Calibri" w:hAnsi="Calibri"/>
                <w:color w:val="2D3748"/>
                <w:sz w:val="16"/>
              </w:rPr>
              <w:t>Gross deadweight of parcel consignment</w:t>
            </w:r>
          </w:p>
        </w:tc>
        <w:tc>
          <w:tcPr>
            <w:tcW w:type="dxa" w:w="2304"/>
            <w:tcMar>
              <w:top w:w="50" w:type="dxa"/>
              <w:bottom w:w="50" w:type="dxa"/>
              <w:left w:w="70" w:type="dxa"/>
              <w:right w:w="70" w:type="dxa"/>
            </w:tcMar>
            <w:shd w:fill="F7FAFC"/>
          </w:tcPr>
          <w:p>
            <w:pPr>
              <w:spacing w:before="0" w:after="0"/>
            </w:pPr>
            <w:r>
              <w:rPr>
                <w:rFonts w:ascii="Calibri" w:hAnsi="Calibri"/>
                <w:color w:val="2D3748"/>
                <w:sz w:val="16"/>
              </w:rPr>
              <w:t>Positive Real: (0.05, 26000.0] kg</w:t>
            </w:r>
          </w:p>
        </w:tc>
      </w:tr>
      <w:tr>
        <w:tc>
          <w:tcPr>
            <w:tcW w:type="dxa" w:w="1728"/>
            <w:tcMar>
              <w:top w:w="50" w:type="dxa"/>
              <w:bottom w:w="50" w:type="dxa"/>
              <w:left w:w="70" w:type="dxa"/>
              <w:right w:w="70" w:type="dxa"/>
            </w:tcMar>
          </w:tcPr>
          <w:p>
            <w:pPr>
              <w:spacing w:before="0" w:after="0"/>
            </w:pPr>
            <w:r>
              <w:rPr>
                <w:rFonts w:ascii="Calibri" w:hAnsi="Calibri"/>
                <w:color w:val="2D3748"/>
                <w:sz w:val="16"/>
              </w:rPr>
              <w:t>length_cm</w:t>
            </w:r>
          </w:p>
        </w:tc>
        <w:tc>
          <w:tcPr>
            <w:tcW w:type="dxa" w:w="1152"/>
            <w:tcMar>
              <w:top w:w="50" w:type="dxa"/>
              <w:bottom w:w="50" w:type="dxa"/>
              <w:left w:w="70" w:type="dxa"/>
              <w:right w:w="70" w:type="dxa"/>
            </w:tcMar>
          </w:tcPr>
          <w:p>
            <w:pPr>
              <w:spacing w:before="0" w:after="0"/>
            </w:pPr>
            <w:r>
              <w:rPr>
                <w:rFonts w:ascii="Calibri" w:hAnsi="Calibri"/>
                <w:color w:val="2D3748"/>
                <w:sz w:val="16"/>
              </w:rPr>
              <w:t>Float64</w:t>
            </w:r>
          </w:p>
        </w:tc>
        <w:tc>
          <w:tcPr>
            <w:tcW w:type="dxa" w:w="1584"/>
            <w:tcMar>
              <w:top w:w="50" w:type="dxa"/>
              <w:bottom w:w="50" w:type="dxa"/>
              <w:left w:w="70" w:type="dxa"/>
              <w:right w:w="70" w:type="dxa"/>
            </w:tcMar>
          </w:tcPr>
          <w:p>
            <w:pPr>
              <w:spacing w:before="0" w:after="0"/>
            </w:pPr>
            <w:r>
              <w:rPr>
                <w:rFonts w:ascii="Calibri" w:hAnsi="Calibri"/>
                <w:color w:val="2D3748"/>
                <w:sz w:val="16"/>
              </w:rPr>
              <w:t>CubiScan</w:t>
            </w:r>
          </w:p>
        </w:tc>
        <w:tc>
          <w:tcPr>
            <w:tcW w:type="dxa" w:w="2592"/>
            <w:tcMar>
              <w:top w:w="50" w:type="dxa"/>
              <w:bottom w:w="50" w:type="dxa"/>
              <w:left w:w="70" w:type="dxa"/>
              <w:right w:w="70" w:type="dxa"/>
            </w:tcMar>
          </w:tcPr>
          <w:p>
            <w:pPr>
              <w:spacing w:before="0" w:after="0"/>
            </w:pPr>
            <w:r>
              <w:rPr>
                <w:rFonts w:ascii="Calibri" w:hAnsi="Calibri"/>
                <w:color w:val="2D3748"/>
                <w:sz w:val="16"/>
              </w:rPr>
              <w:t>Outer package length dimension</w:t>
            </w:r>
          </w:p>
        </w:tc>
        <w:tc>
          <w:tcPr>
            <w:tcW w:type="dxa" w:w="2304"/>
            <w:tcMar>
              <w:top w:w="50" w:type="dxa"/>
              <w:bottom w:w="50" w:type="dxa"/>
              <w:left w:w="70" w:type="dxa"/>
              <w:right w:w="70" w:type="dxa"/>
            </w:tcMar>
          </w:tcPr>
          <w:p>
            <w:pPr>
              <w:spacing w:before="0" w:after="0"/>
            </w:pPr>
            <w:r>
              <w:rPr>
                <w:rFonts w:ascii="Calibri" w:hAnsi="Calibri"/>
                <w:color w:val="2D3748"/>
                <w:sz w:val="16"/>
              </w:rPr>
              <w:t>Positive Real: [10.0, 250.0] cm</w:t>
            </w:r>
          </w:p>
        </w:tc>
      </w:tr>
      <w:tr>
        <w:tc>
          <w:tcPr>
            <w:tcW w:type="dxa" w:w="1728"/>
            <w:tcMar>
              <w:top w:w="50" w:type="dxa"/>
              <w:bottom w:w="50" w:type="dxa"/>
              <w:left w:w="70" w:type="dxa"/>
              <w:right w:w="70" w:type="dxa"/>
            </w:tcMar>
            <w:shd w:fill="F7FAFC"/>
          </w:tcPr>
          <w:p>
            <w:pPr>
              <w:spacing w:before="0" w:after="0"/>
            </w:pPr>
            <w:r>
              <w:rPr>
                <w:rFonts w:ascii="Calibri" w:hAnsi="Calibri"/>
                <w:color w:val="2D3748"/>
                <w:sz w:val="16"/>
              </w:rPr>
              <w:t>width_cm</w:t>
            </w:r>
          </w:p>
        </w:tc>
        <w:tc>
          <w:tcPr>
            <w:tcW w:type="dxa" w:w="1152"/>
            <w:tcMar>
              <w:top w:w="50" w:type="dxa"/>
              <w:bottom w:w="50" w:type="dxa"/>
              <w:left w:w="70" w:type="dxa"/>
              <w:right w:w="70" w:type="dxa"/>
            </w:tcMar>
            <w:shd w:fill="F7FAFC"/>
          </w:tcPr>
          <w:p>
            <w:pPr>
              <w:spacing w:before="0" w:after="0"/>
            </w:pPr>
            <w:r>
              <w:rPr>
                <w:rFonts w:ascii="Calibri" w:hAnsi="Calibri"/>
                <w:color w:val="2D3748"/>
                <w:sz w:val="16"/>
              </w:rPr>
              <w:t>Float64</w:t>
            </w:r>
          </w:p>
        </w:tc>
        <w:tc>
          <w:tcPr>
            <w:tcW w:type="dxa" w:w="1584"/>
            <w:tcMar>
              <w:top w:w="50" w:type="dxa"/>
              <w:bottom w:w="50" w:type="dxa"/>
              <w:left w:w="70" w:type="dxa"/>
              <w:right w:w="70" w:type="dxa"/>
            </w:tcMar>
            <w:shd w:fill="F7FAFC"/>
          </w:tcPr>
          <w:p>
            <w:pPr>
              <w:spacing w:before="0" w:after="0"/>
            </w:pPr>
            <w:r>
              <w:rPr>
                <w:rFonts w:ascii="Calibri" w:hAnsi="Calibri"/>
                <w:color w:val="2D3748"/>
                <w:sz w:val="16"/>
              </w:rPr>
              <w:t>CubiScan</w:t>
            </w:r>
          </w:p>
        </w:tc>
        <w:tc>
          <w:tcPr>
            <w:tcW w:type="dxa" w:w="2592"/>
            <w:tcMar>
              <w:top w:w="50" w:type="dxa"/>
              <w:bottom w:w="50" w:type="dxa"/>
              <w:left w:w="70" w:type="dxa"/>
              <w:right w:w="70" w:type="dxa"/>
            </w:tcMar>
            <w:shd w:fill="F7FAFC"/>
          </w:tcPr>
          <w:p>
            <w:pPr>
              <w:spacing w:before="0" w:after="0"/>
            </w:pPr>
            <w:r>
              <w:rPr>
                <w:rFonts w:ascii="Calibri" w:hAnsi="Calibri"/>
                <w:color w:val="2D3748"/>
                <w:sz w:val="16"/>
              </w:rPr>
              <w:t>Outer package width dimension</w:t>
            </w:r>
          </w:p>
        </w:tc>
        <w:tc>
          <w:tcPr>
            <w:tcW w:type="dxa" w:w="2304"/>
            <w:tcMar>
              <w:top w:w="50" w:type="dxa"/>
              <w:bottom w:w="50" w:type="dxa"/>
              <w:left w:w="70" w:type="dxa"/>
              <w:right w:w="70" w:type="dxa"/>
            </w:tcMar>
            <w:shd w:fill="F7FAFC"/>
          </w:tcPr>
          <w:p>
            <w:pPr>
              <w:spacing w:before="0" w:after="0"/>
            </w:pPr>
            <w:r>
              <w:rPr>
                <w:rFonts w:ascii="Calibri" w:hAnsi="Calibri"/>
                <w:color w:val="2D3748"/>
                <w:sz w:val="16"/>
              </w:rPr>
              <w:t>Positive Real: [10.0, 180.0] cm</w:t>
            </w:r>
          </w:p>
        </w:tc>
      </w:tr>
      <w:tr>
        <w:tc>
          <w:tcPr>
            <w:tcW w:type="dxa" w:w="1728"/>
            <w:tcMar>
              <w:top w:w="50" w:type="dxa"/>
              <w:bottom w:w="50" w:type="dxa"/>
              <w:left w:w="70" w:type="dxa"/>
              <w:right w:w="70" w:type="dxa"/>
            </w:tcMar>
          </w:tcPr>
          <w:p>
            <w:pPr>
              <w:spacing w:before="0" w:after="0"/>
            </w:pPr>
            <w:r>
              <w:rPr>
                <w:rFonts w:ascii="Calibri" w:hAnsi="Calibri"/>
                <w:color w:val="2D3748"/>
                <w:sz w:val="16"/>
              </w:rPr>
              <w:t>height_cm</w:t>
            </w:r>
          </w:p>
        </w:tc>
        <w:tc>
          <w:tcPr>
            <w:tcW w:type="dxa" w:w="1152"/>
            <w:tcMar>
              <w:top w:w="50" w:type="dxa"/>
              <w:bottom w:w="50" w:type="dxa"/>
              <w:left w:w="70" w:type="dxa"/>
              <w:right w:w="70" w:type="dxa"/>
            </w:tcMar>
          </w:tcPr>
          <w:p>
            <w:pPr>
              <w:spacing w:before="0" w:after="0"/>
            </w:pPr>
            <w:r>
              <w:rPr>
                <w:rFonts w:ascii="Calibri" w:hAnsi="Calibri"/>
                <w:color w:val="2D3748"/>
                <w:sz w:val="16"/>
              </w:rPr>
              <w:t>Float64</w:t>
            </w:r>
          </w:p>
        </w:tc>
        <w:tc>
          <w:tcPr>
            <w:tcW w:type="dxa" w:w="1584"/>
            <w:tcMar>
              <w:top w:w="50" w:type="dxa"/>
              <w:bottom w:w="50" w:type="dxa"/>
              <w:left w:w="70" w:type="dxa"/>
              <w:right w:w="70" w:type="dxa"/>
            </w:tcMar>
          </w:tcPr>
          <w:p>
            <w:pPr>
              <w:spacing w:before="0" w:after="0"/>
            </w:pPr>
            <w:r>
              <w:rPr>
                <w:rFonts w:ascii="Calibri" w:hAnsi="Calibri"/>
                <w:color w:val="2D3748"/>
                <w:sz w:val="16"/>
              </w:rPr>
              <w:t>CubiScan</w:t>
            </w:r>
          </w:p>
        </w:tc>
        <w:tc>
          <w:tcPr>
            <w:tcW w:type="dxa" w:w="2592"/>
            <w:tcMar>
              <w:top w:w="50" w:type="dxa"/>
              <w:bottom w:w="50" w:type="dxa"/>
              <w:left w:w="70" w:type="dxa"/>
              <w:right w:w="70" w:type="dxa"/>
            </w:tcMar>
          </w:tcPr>
          <w:p>
            <w:pPr>
              <w:spacing w:before="0" w:after="0"/>
            </w:pPr>
            <w:r>
              <w:rPr>
                <w:rFonts w:ascii="Calibri" w:hAnsi="Calibri"/>
                <w:color w:val="2D3748"/>
                <w:sz w:val="16"/>
              </w:rPr>
              <w:t>Outer package height dimension</w:t>
            </w:r>
          </w:p>
        </w:tc>
        <w:tc>
          <w:tcPr>
            <w:tcW w:type="dxa" w:w="2304"/>
            <w:tcMar>
              <w:top w:w="50" w:type="dxa"/>
              <w:bottom w:w="50" w:type="dxa"/>
              <w:left w:w="70" w:type="dxa"/>
              <w:right w:w="70" w:type="dxa"/>
            </w:tcMar>
          </w:tcPr>
          <w:p>
            <w:pPr>
              <w:spacing w:before="0" w:after="0"/>
            </w:pPr>
            <w:r>
              <w:rPr>
                <w:rFonts w:ascii="Calibri" w:hAnsi="Calibri"/>
                <w:color w:val="2D3748"/>
                <w:sz w:val="16"/>
              </w:rPr>
              <w:t>Positive Real: [2.0, 150.0] cm</w:t>
            </w:r>
          </w:p>
        </w:tc>
      </w:tr>
      <w:tr>
        <w:tc>
          <w:tcPr>
            <w:tcW w:type="dxa" w:w="1728"/>
            <w:tcMar>
              <w:top w:w="50" w:type="dxa"/>
              <w:bottom w:w="50" w:type="dxa"/>
              <w:left w:w="70" w:type="dxa"/>
              <w:right w:w="70" w:type="dxa"/>
            </w:tcMar>
            <w:shd w:fill="F7FAFC"/>
          </w:tcPr>
          <w:p>
            <w:pPr>
              <w:spacing w:before="0" w:after="0"/>
            </w:pPr>
            <w:r>
              <w:rPr>
                <w:rFonts w:ascii="Calibri" w:hAnsi="Calibri"/>
                <w:color w:val="2D3748"/>
                <w:sz w:val="16"/>
              </w:rPr>
              <w:t>transit_distance_km</w:t>
            </w:r>
          </w:p>
        </w:tc>
        <w:tc>
          <w:tcPr>
            <w:tcW w:type="dxa" w:w="1152"/>
            <w:tcMar>
              <w:top w:w="50" w:type="dxa"/>
              <w:bottom w:w="50" w:type="dxa"/>
              <w:left w:w="70" w:type="dxa"/>
              <w:right w:w="70" w:type="dxa"/>
            </w:tcMar>
            <w:shd w:fill="F7FAFC"/>
          </w:tcPr>
          <w:p>
            <w:pPr>
              <w:spacing w:before="0" w:after="0"/>
            </w:pPr>
            <w:r>
              <w:rPr>
                <w:rFonts w:ascii="Calibri" w:hAnsi="Calibri"/>
                <w:color w:val="2D3748"/>
                <w:sz w:val="16"/>
              </w:rPr>
              <w:t>Float64</w:t>
            </w:r>
          </w:p>
        </w:tc>
        <w:tc>
          <w:tcPr>
            <w:tcW w:type="dxa" w:w="1584"/>
            <w:tcMar>
              <w:top w:w="50" w:type="dxa"/>
              <w:bottom w:w="50" w:type="dxa"/>
              <w:left w:w="70" w:type="dxa"/>
              <w:right w:w="70" w:type="dxa"/>
            </w:tcMar>
            <w:shd w:fill="F7FAFC"/>
          </w:tcPr>
          <w:p>
            <w:pPr>
              <w:spacing w:before="0" w:after="0"/>
            </w:pPr>
            <w:r>
              <w:rPr>
                <w:rFonts w:ascii="Calibri" w:hAnsi="Calibri"/>
                <w:color w:val="2D3748"/>
                <w:sz w:val="16"/>
              </w:rPr>
              <w:t>CAN-bus / API</w:t>
            </w:r>
          </w:p>
        </w:tc>
        <w:tc>
          <w:tcPr>
            <w:tcW w:type="dxa" w:w="2592"/>
            <w:tcMar>
              <w:top w:w="50" w:type="dxa"/>
              <w:bottom w:w="50" w:type="dxa"/>
              <w:left w:w="70" w:type="dxa"/>
              <w:right w:w="70" w:type="dxa"/>
            </w:tcMar>
            <w:shd w:fill="F7FAFC"/>
          </w:tcPr>
          <w:p>
            <w:pPr>
              <w:spacing w:before="0" w:after="0"/>
            </w:pPr>
            <w:r>
              <w:rPr>
                <w:rFonts w:ascii="Calibri" w:hAnsi="Calibri"/>
                <w:color w:val="2D3748"/>
                <w:sz w:val="16"/>
              </w:rPr>
              <w:t>Actual road network transit distance</w:t>
            </w:r>
          </w:p>
        </w:tc>
        <w:tc>
          <w:tcPr>
            <w:tcW w:type="dxa" w:w="2304"/>
            <w:tcMar>
              <w:top w:w="50" w:type="dxa"/>
              <w:bottom w:w="50" w:type="dxa"/>
              <w:left w:w="70" w:type="dxa"/>
              <w:right w:w="70" w:type="dxa"/>
            </w:tcMar>
            <w:shd w:fill="F7FAFC"/>
          </w:tcPr>
          <w:p>
            <w:pPr>
              <w:spacing w:before="0" w:after="0"/>
            </w:pPr>
            <w:r>
              <w:rPr>
                <w:rFonts w:ascii="Calibri" w:hAnsi="Calibri"/>
                <w:color w:val="2D3748"/>
                <w:sz w:val="16"/>
              </w:rPr>
              <w:t>Positive Real: [2.0, 3500.0] km</w:t>
            </w:r>
          </w:p>
        </w:tc>
      </w:tr>
      <w:tr>
        <w:tc>
          <w:tcPr>
            <w:tcW w:type="dxa" w:w="1728"/>
            <w:tcMar>
              <w:top w:w="50" w:type="dxa"/>
              <w:bottom w:w="50" w:type="dxa"/>
              <w:left w:w="70" w:type="dxa"/>
              <w:right w:w="70" w:type="dxa"/>
            </w:tcMar>
          </w:tcPr>
          <w:p>
            <w:pPr>
              <w:spacing w:before="0" w:after="0"/>
            </w:pPr>
            <w:r>
              <w:rPr>
                <w:rFonts w:ascii="Calibri" w:hAnsi="Calibri"/>
                <w:color w:val="2D3748"/>
                <w:sz w:val="16"/>
              </w:rPr>
              <w:t>freight_cost_usd</w:t>
            </w:r>
          </w:p>
        </w:tc>
        <w:tc>
          <w:tcPr>
            <w:tcW w:type="dxa" w:w="1152"/>
            <w:tcMar>
              <w:top w:w="50" w:type="dxa"/>
              <w:bottom w:w="50" w:type="dxa"/>
              <w:left w:w="70" w:type="dxa"/>
              <w:right w:w="70" w:type="dxa"/>
            </w:tcMar>
          </w:tcPr>
          <w:p>
            <w:pPr>
              <w:spacing w:before="0" w:after="0"/>
            </w:pPr>
            <w:r>
              <w:rPr>
                <w:rFonts w:ascii="Calibri" w:hAnsi="Calibri"/>
                <w:color w:val="2D3748"/>
                <w:sz w:val="16"/>
              </w:rPr>
              <w:t>String</w:t>
            </w:r>
          </w:p>
        </w:tc>
        <w:tc>
          <w:tcPr>
            <w:tcW w:type="dxa" w:w="1584"/>
            <w:tcMar>
              <w:top w:w="50" w:type="dxa"/>
              <w:bottom w:w="50" w:type="dxa"/>
              <w:left w:w="70" w:type="dxa"/>
              <w:right w:w="70" w:type="dxa"/>
            </w:tcMar>
          </w:tcPr>
          <w:p>
            <w:pPr>
              <w:spacing w:before="0" w:after="0"/>
            </w:pPr>
            <w:r>
              <w:rPr>
                <w:rFonts w:ascii="Calibri" w:hAnsi="Calibri"/>
                <w:color w:val="2D3748"/>
                <w:sz w:val="16"/>
              </w:rPr>
              <w:t>TMS Invoicing</w:t>
            </w:r>
          </w:p>
        </w:tc>
        <w:tc>
          <w:tcPr>
            <w:tcW w:type="dxa" w:w="2592"/>
            <w:tcMar>
              <w:top w:w="50" w:type="dxa"/>
              <w:bottom w:w="50" w:type="dxa"/>
              <w:left w:w="70" w:type="dxa"/>
              <w:right w:w="70" w:type="dxa"/>
            </w:tcMar>
          </w:tcPr>
          <w:p>
            <w:pPr>
              <w:spacing w:before="0" w:after="0"/>
            </w:pPr>
            <w:r>
              <w:rPr>
                <w:rFonts w:ascii="Calibri" w:hAnsi="Calibri"/>
                <w:color w:val="2D3748"/>
                <w:sz w:val="16"/>
              </w:rPr>
              <w:t>Billed transportation charges in USD</w:t>
            </w:r>
          </w:p>
        </w:tc>
        <w:tc>
          <w:tcPr>
            <w:tcW w:type="dxa" w:w="2304"/>
            <w:tcMar>
              <w:top w:w="50" w:type="dxa"/>
              <w:bottom w:w="50" w:type="dxa"/>
              <w:left w:w="70" w:type="dxa"/>
              <w:right w:w="70" w:type="dxa"/>
            </w:tcMar>
          </w:tcPr>
          <w:p>
            <w:pPr>
              <w:spacing w:before="0" w:after="0"/>
            </w:pPr>
            <w:r>
              <w:rPr>
                <w:rFonts w:ascii="Calibri" w:hAnsi="Calibri"/>
                <w:color w:val="2D3748"/>
                <w:sz w:val="16"/>
              </w:rPr>
              <w:t>Currency String: $#,##0.00</w:t>
            </w:r>
          </w:p>
        </w:tc>
      </w:tr>
    </w:tbl>
    <w:p>
      <w:pPr>
        <w:spacing w:after="120"/>
      </w:pPr>
    </w:p>
    <w:p>
      <w:pPr>
        <w:pStyle w:val="Heading2"/>
        <w:keepNext/>
        <w:spacing w:before="280" w:after="80"/>
      </w:pPr>
      <w:r>
        <w:rPr>
          <w:rFonts w:ascii="Calibri" w:hAnsi="Calibri"/>
          <w:b/>
          <w:color w:val="2B6CB0"/>
          <w:sz w:val="26"/>
        </w:rPr>
        <w:t>2.2 Ingestion Benchmarks: Olist &amp; DataCo Supply Chain Datasets</w:t>
      </w:r>
    </w:p>
    <w:p>
      <w:pPr>
        <w:spacing w:after="80"/>
      </w:pPr>
      <w:r>
        <w:t>To ensure production applicability without relying on proprietary databases, this pipeline benchmarks its architecture against two foundational open-access supply chain repositories:</w:t>
      </w:r>
    </w:p>
    <w:p>
      <w:pPr>
        <w:pStyle w:val="ListBullet"/>
      </w:pPr>
      <w:r>
        <w:rPr>
          <w:b/>
          <w:color w:val="1A365D"/>
        </w:rPr>
        <w:t xml:space="preserve">Brazilian E-Commerce Public Dataset by Olist (Kaggle): </w:t>
      </w:r>
      <w:r>
        <w:t>Contains 100,000 real-world commercial deliveries spanning 2016-2018 across Brazilian states. It benchmarks multi-stage timestamp chains (order_purchase, order_delivered_carrier, order_delivered_customer) and demonstrates heavy lead-time variance across interstate highway corridors, postal prefix centroid clustering, and asynchronous database batch logging anomalies.</w:t>
      </w:r>
    </w:p>
    <w:p>
      <w:pPr>
        <w:pStyle w:val="ListBullet"/>
      </w:pPr>
      <w:r>
        <w:rPr>
          <w:b/>
          <w:color w:val="1A365D"/>
        </w:rPr>
        <w:t xml:space="preserve">DataCo Global Smart Supply Chain Dataset (Kaggle): </w:t>
      </w:r>
      <w:r>
        <w:t>Contains 180,000 shipment transaction records tracking international supply chains across omnichannel commercial sales. It provides structured delivery status classifications (Late delivery, Advance delivery, Shipping on time), scheduled vs. real transit days, and shipment dimensional attributes, confirming that missing delivery timestamps frequently represent operational exceptions rather than sensor dropouts.</w:t>
      </w:r>
    </w:p>
    <w:p>
      <w:pPr>
        <w:pStyle w:val="Heading1"/>
        <w:keepNext/>
        <w:spacing w:before="360" w:after="120"/>
      </w:pPr>
      <w:r>
        <w:rPr>
          <w:rFonts w:ascii="Calibri" w:hAnsi="Calibri"/>
          <w:b/>
          <w:color w:val="1A365D"/>
          <w:sz w:val="32"/>
        </w:rPr>
        <w:t>3. Systematic Data Quality Audit &amp; Failure Taxonomy</w:t>
      </w:r>
    </w:p>
    <w:p>
      <w:pPr>
        <w:spacing w:after="80"/>
      </w:pPr>
      <w:r>
        <w:t>Raw supply chain telemetry is subject to environmental, mechanical, and human disturbances. The identification taxonomy categorizes data degradation into three primary engineering failure classes:</w:t>
      </w:r>
    </w:p>
    <w:p>
      <w:pPr>
        <w:pStyle w:val="Heading2"/>
        <w:keepNext/>
        <w:spacing w:before="280" w:after="80"/>
      </w:pPr>
      <w:r>
        <w:rPr>
          <w:rFonts w:ascii="Calibri" w:hAnsi="Calibri"/>
          <w:b/>
          <w:color w:val="2B6CB0"/>
          <w:sz w:val="26"/>
        </w:rPr>
        <w:t>3.1 Tripartite Missing Data Mechanisms in Logistics</w:t>
      </w:r>
    </w:p>
    <w:p>
      <w:pPr>
        <w:spacing w:before="60" w:after="60"/>
      </w:pPr>
      <w:r>
        <w:rPr>
          <w:b/>
          <w:color w:val="2B6CB0"/>
        </w:rPr>
        <w:t xml:space="preserve">1. Missing Completely at Random (MCAR): </w:t>
      </w:r>
      <w:r>
        <w:t>Telematics packet dropouts occurring when delivery vehicles traverse subterranean tunnels, dense urban canyons, or cellular dead zones. The probability of missingness is completely independent of both observed and unobserved operational values: P(M | Y_obs, Y_mis) = P(M). Imputation via median central tendency or forward spline interpolation is mathematically valid and unbiased.</w:t>
      </w:r>
    </w:p>
    <w:p>
      <w:pPr>
        <w:spacing w:before="60" w:after="60"/>
      </w:pPr>
      <w:r>
        <w:rPr>
          <w:b/>
          <w:color w:val="2B6CB0"/>
        </w:rPr>
        <w:t xml:space="preserve">2. Missing at Random (MAR): </w:t>
      </w:r>
      <w:r>
        <w:t>Package dimensions (length, width, height) missing for lightweight flyers and envelopes. In automated cross-dock sorters, optical CubiScan lasers only trigger scans on rigid cardboard cartons exceeding a vertical profile threshold (10 cm). Missingness is fully explained by observed attributes (package_weight_kg &lt; 1.5 kg): P(M | Y_obs, Y_mis) = P(M | Y_obs). Conditional median imputation grouped by packaging class resolves this bias.</w:t>
      </w:r>
    </w:p>
    <w:p>
      <w:pPr>
        <w:spacing w:before="60" w:after="60"/>
      </w:pPr>
      <w:r>
        <w:rPr>
          <w:b/>
          <w:color w:val="2B6CB0"/>
        </w:rPr>
        <w:t xml:space="preserve">3. Missing Not at Random (MNAR): </w:t>
      </w:r>
      <w:r>
        <w:t>Missing actual_delivery_timestamp records. An unrecorded POD signature signifies an active operational exception: driver vehicle breakdown, customer gate lockout, route cancellation, or cargo theft. The probability of missingness depends directly on the unobserved outcome (the delivery never occurred): P(M | Y_obs, Y_mis) != P(M | Y_obs). Imputing these timestamps introduces catastrophic target leakage; records must be retained and classified as EXCEPTION_OR_IN_TRANSIT.</w:t>
      </w:r>
    </w:p>
    <w:p>
      <w:pPr>
        <w:pStyle w:val="Heading2"/>
        <w:keepNext/>
        <w:spacing w:before="280" w:after="80"/>
      </w:pPr>
      <w:r>
        <w:rPr>
          <w:rFonts w:ascii="Calibri" w:hAnsi="Calibri"/>
          <w:b/>
          <w:color w:val="2B6CB0"/>
          <w:sz w:val="26"/>
        </w:rPr>
        <w:t>3.2 Domain-Specific Structural Anomalies &amp; Physics Violations</w:t>
      </w:r>
    </w:p>
    <w:p>
      <w:pPr>
        <w:pStyle w:val="ListBullet"/>
        <w:spacing w:before="40" w:after="40"/>
      </w:pPr>
      <w:r>
        <w:rPr>
          <w:b/>
          <w:color w:val="1A365D"/>
        </w:rPr>
        <w:t xml:space="preserve">Chronological Timestamp Inversions: </w:t>
      </w:r>
      <w:r>
        <w:t>Mobile driver devices with unsynchronized clocks or unparsed timezones record actual_delivery_timestamp occurring prior to dispatch_timestamp (actual_transit_hours &lt; 0). This violates physical causality and induces severe gradient explosion during regression modeling.</w:t>
      </w:r>
    </w:p>
    <w:p>
      <w:pPr>
        <w:pStyle w:val="ListBullet"/>
        <w:spacing w:before="40" w:after="40"/>
      </w:pPr>
      <w:r>
        <w:rPr>
          <w:b/>
          <w:color w:val="1A365D"/>
        </w:rPr>
        <w:t xml:space="preserve">Geospatial Transposition &amp; Null Island: </w:t>
      </w:r>
      <w:r>
        <w:t>Upstream geocoders frequently swap latitude and longitude values or default uninitialized GPS modems to (0.0000°, 0.0000°), placing delivery coordinates in the Atlantic Ocean off the coast of West Africa ('Null Island').</w:t>
      </w:r>
    </w:p>
    <w:p>
      <w:pPr>
        <w:pStyle w:val="ListBullet"/>
        <w:spacing w:before="40" w:after="40"/>
      </w:pPr>
      <w:r>
        <w:rPr>
          <w:b/>
          <w:color w:val="1A365D"/>
        </w:rPr>
        <w:t xml:space="preserve">Sensor Tare Calibration Drift: </w:t>
      </w:r>
      <w:r>
        <w:t>Conveyor belt load-cells subject to mechanical vibration, tare deduction overshoots, or uncalibrated strain gauges yield cargo deadweights &lt;= 0.0 kg, which corrupts volumetric density and fuel burn models.</w:t>
      </w:r>
    </w:p>
    <w:p>
      <w:pPr>
        <w:pStyle w:val="ListBullet"/>
        <w:spacing w:before="40" w:after="40"/>
      </w:pPr>
      <w:r>
        <w:rPr>
          <w:b/>
          <w:color w:val="1A365D"/>
        </w:rPr>
        <w:t xml:space="preserve">Currency Formatting &amp; Heterogeneous Strings: </w:t>
      </w:r>
      <w:r>
        <w:t>Invoiced transportation charges exported with embedded currency symbols ('$1,245.50', 'USD'), commas, and trailing whitespaces, preventing numeric vector computation until sanitized.</w:t>
      </w:r>
    </w:p>
    <w:p>
      <w:pPr>
        <w:pStyle w:val="Heading2"/>
        <w:keepNext/>
        <w:spacing w:before="280" w:after="80"/>
      </w:pPr>
      <w:r>
        <w:rPr>
          <w:rFonts w:ascii="Calibri" w:hAnsi="Calibri"/>
          <w:b/>
          <w:color w:val="2B6CB0"/>
          <w:sz w:val="26"/>
        </w:rPr>
        <w:t>3.3 High-Variance Scale Disparities</w:t>
      </w:r>
    </w:p>
    <w:p>
      <w:r>
        <w:t>Multimodal logistics features span drastically different orders of magnitude: transit distances span [10, 3500] km and freight costs span [8, 25000] USD, whereas committed SLA days span [1, 7] days. Without robust feature scaling, distance-based algorithms (k-Means route clustering, k-NN zoning) compute Euclidean distances dominated by distance coordinates by a factor of 10^6, rendering operational SLA urgency completely invisible to the model.</w:t>
      </w:r>
    </w:p>
    <w:p>
      <w:pPr>
        <w:pStyle w:val="Heading1"/>
        <w:keepNext/>
        <w:spacing w:before="360" w:after="120"/>
      </w:pPr>
      <w:r>
        <w:rPr>
          <w:rFonts w:ascii="Calibri" w:hAnsi="Calibri"/>
          <w:b/>
          <w:color w:val="1A365D"/>
          <w:sz w:val="32"/>
        </w:rPr>
        <w:t>4. Methodology &amp; Statistical Remediation Formulations</w:t>
      </w:r>
    </w:p>
    <w:p>
      <w:pPr>
        <w:pStyle w:val="Heading2"/>
        <w:keepNext/>
        <w:spacing w:before="280" w:after="80"/>
      </w:pPr>
      <w:r>
        <w:rPr>
          <w:rFonts w:ascii="Calibri" w:hAnsi="Calibri"/>
          <w:b/>
          <w:color w:val="2B6CB0"/>
          <w:sz w:val="26"/>
        </w:rPr>
        <w:t>4.1 Non-Parametric Outlier Boundaries: Tukey's Fences &amp; Winsorization</w:t>
      </w:r>
    </w:p>
    <w:p>
      <w:pPr>
        <w:spacing w:after="80"/>
      </w:pPr>
      <w:r>
        <w:t>Logistics operational durations and deadweights exhibit heavy-tailed distributions. Standard Gaussian filters (3*sigma) fail because extreme outliers inflate both the sample mean and variance. We apply non-parametric Tukey's Fences:</w:t>
      </w:r>
    </w:p>
    <w:tbl>
      <w:tblPr>
        <w:tblW w:type="auto" w:w="0"/>
        <w:jc w:val="center"/>
        <w:tblLayout w:type="fixed"/>
        <w:tblLook w:firstColumn="1" w:firstRow="1" w:lastColumn="0" w:lastRow="0" w:noHBand="0" w:noVBand="1" w:val="04A0"/>
      </w:tblPr>
      <w:tblGrid>
        <w:gridCol w:w="9360"/>
      </w:tblGrid>
      <w:tr>
        <w:tc>
          <w:tcPr>
            <w:tcW w:type="dxa" w:w="9360"/>
            <w:shd w:fill="F7FAFC"/>
            <w:tcBorders>
              <w:top w:val="none" w:sz="0" w:space="0" w:color="auto"/>
              <w:left w:val="single" w:sz="36" w:space="0" w:color="2B6CB0"/>
              <w:bottom w:val="none" w:sz="0" w:space="0" w:color="auto"/>
              <w:right w:val="none" w:sz="0" w:space="0" w:color="auto"/>
            </w:tcBorders>
            <w:tcMar>
              <w:top w:w="140" w:type="dxa"/>
              <w:bottom w:w="140" w:type="dxa"/>
              <w:left w:w="200" w:type="dxa"/>
              <w:right w:w="160" w:type="dxa"/>
            </w:tcMar>
          </w:tcPr>
          <w:p>
            <w:pPr>
              <w:spacing w:before="40" w:after="80"/>
            </w:pPr>
            <w:r>
              <w:rPr>
                <w:rFonts w:ascii="Calibri" w:hAnsi="Calibri"/>
                <w:b/>
                <w:color w:val="1A365D"/>
                <w:sz w:val="22"/>
              </w:rPr>
              <w:t>■ MATHEMATICAL FORMULATION: TUKEY'S FENCES &amp; WINSORIZATION</w:t>
              <w:br/>
            </w:r>
            <w:r>
              <w:rPr>
                <w:rFonts w:ascii="Calibri" w:hAnsi="Calibri"/>
                <w:color w:val="2D3748"/>
                <w:sz w:val="20"/>
              </w:rPr>
              <w:t>1. Quartile Estimation:</w:t>
              <w:br/>
              <w:t xml:space="preserve">   Q1 = F^(-1)(0.25),   Q3 = F^(-1)(0.75)</w:t>
              <w:br/>
              <w:t xml:space="preserve">   IQR = Q3 - Q1</w:t>
              <w:br/>
              <w:br/>
              <w:t>2. Robust Inner Fence Bounds:</w:t>
              <w:br/>
              <w:t xml:space="preserve">   Lower Limit = max(Floor_physical, Q1 - 1.5 * IQR)</w:t>
              <w:br/>
              <w:t xml:space="preserve">   Upper Limit = Q3 + 1.5 * IQR</w:t>
              <w:br/>
              <w:br/>
              <w:t>3. Winsorization Transformation (Preserving Sample Size N):</w:t>
              <w:br/>
              <w:t xml:space="preserve">   x_i* = Lower Limit,   if x_i &lt; Lower Limit</w:t>
              <w:br/>
              <w:t xml:space="preserve">   x_i* = x_i,           if Lower Limit &lt;= x_i &lt;= Upper Limit</w:t>
              <w:br/>
              <w:t xml:space="preserve">   x_i* = Upper Limit,   if x_i &gt; Upper Limit</w:t>
              <w:br/>
              <w:br/>
              <w:t>Rationale: Discarding high-transit-time records introduces survivorship bias by deleting valid records of severe road gridlock. Winsorization caps extreme values at the upper threshold, eliminating gradient explosion while preserving operating signal.</w:t>
            </w:r>
          </w:p>
        </w:tc>
      </w:tr>
    </w:tbl>
    <w:p>
      <w:pPr>
        <w:spacing w:before="0" w:after="120"/>
      </w:pPr>
    </w:p>
    <w:p>
      <w:pPr>
        <w:pStyle w:val="Heading2"/>
        <w:keepNext/>
        <w:spacing w:before="280" w:after="80"/>
      </w:pPr>
      <w:r>
        <w:rPr>
          <w:rFonts w:ascii="Calibri" w:hAnsi="Calibri"/>
          <w:b/>
          <w:color w:val="2B6CB0"/>
          <w:sz w:val="26"/>
        </w:rPr>
        <w:t>4.2 Cyclical Trigonometric Temporal Encodings (S^1 Unit Circle)</w:t>
      </w:r>
    </w:p>
    <w:p>
      <w:r>
        <w:t>Standard linear encodings representing dispatch times as decimal hours t in [0.0, 24.0) create an artificial discontinuity between 23:59 (23.983 h) and 00:01 (0.017 h), resulting in an apparent distance of 23.966 hours. To preserve circadian continuity, timestamps are mapped onto the unit circle S^1:</w:t>
      </w:r>
    </w:p>
    <w:tbl>
      <w:tblPr>
        <w:tblW w:type="auto" w:w="0"/>
        <w:jc w:val="center"/>
        <w:tblLayout w:type="fixed"/>
        <w:tblLook w:firstColumn="1" w:firstRow="1" w:lastColumn="0" w:lastRow="0" w:noHBand="0" w:noVBand="1" w:val="04A0"/>
      </w:tblPr>
      <w:tblGrid>
        <w:gridCol w:w="9360"/>
      </w:tblGrid>
      <w:tr>
        <w:tc>
          <w:tcPr>
            <w:tcW w:type="dxa" w:w="9360"/>
            <w:shd w:fill="F7FAFC"/>
            <w:tcBorders>
              <w:top w:val="none" w:sz="0" w:space="0" w:color="auto"/>
              <w:left w:val="single" w:sz="36" w:space="0" w:color="319795"/>
              <w:bottom w:val="none" w:sz="0" w:space="0" w:color="auto"/>
              <w:right w:val="none" w:sz="0" w:space="0" w:color="auto"/>
            </w:tcBorders>
            <w:tcMar>
              <w:top w:w="140" w:type="dxa"/>
              <w:bottom w:w="140" w:type="dxa"/>
              <w:left w:w="200" w:type="dxa"/>
              <w:right w:w="160" w:type="dxa"/>
            </w:tcMar>
          </w:tcPr>
          <w:p>
            <w:pPr>
              <w:spacing w:before="40" w:after="80"/>
            </w:pPr>
            <w:r>
              <w:rPr>
                <w:rFonts w:ascii="Calibri" w:hAnsi="Calibri"/>
                <w:b/>
                <w:color w:val="1A365D"/>
                <w:sz w:val="22"/>
              </w:rPr>
              <w:t>■ MATHEMATICAL FORMULATION: CIRCULAR TIME MAPPING &amp; DISTANCE PRESERVATION</w:t>
              <w:br/>
            </w:r>
            <w:r>
              <w:rPr>
                <w:rFonts w:ascii="Calibri" w:hAnsi="Calibri"/>
                <w:color w:val="2D3748"/>
                <w:sz w:val="20"/>
              </w:rPr>
              <w:t>1. Trigonometric Projection:</w:t>
              <w:br/>
              <w:t xml:space="preserve">   x_sin = sin(2 * pi * t / 24.0),   x_cos = cos(2 * pi * t / 24.0)</w:t>
              <w:br/>
              <w:br/>
              <w:t>2. Proof of Euclidean Neighborhood Invariance on S^1:</w:t>
              <w:br/>
              <w:t xml:space="preserve">   Let u1 = (sin theta_1, cos theta_1) and u2 = (sin theta_2, cos theta_2), where theta_i = 2*pi*t_i / 24.</w:t>
              <w:br/>
              <w:t xml:space="preserve">   D^2(u1, u2) = (sin theta_1 - sin theta_2)^2 + (cos theta_1 - cos theta_2)^2</w:t>
              <w:br/>
              <w:t xml:space="preserve">               = (sin^2 theta_1 + cos^2 theta_1) + (sin^2 theta_2 + cos^2 theta_2) - 2(cos theta_1 cos theta_2 + sin theta_1 sin theta_2)</w:t>
              <w:br/>
              <w:t xml:space="preserve">               = 2 - 2*cos(theta_1 - theta_2) = 4 * sin^2( pi * (t1 - t2) / 24 )</w:t>
              <w:br/>
              <w:br/>
              <w:t xml:space="preserve">   Therefore: D(u1, u2) = 2 * |sin( pi * (t1 - t2) / 24 )|</w:t>
              <w:br/>
              <w:br/>
              <w:t>Conclusion: The Euclidean distance between feature vectors is strictly a periodic, monotonic function of true circular time difference. For 23:59 and 00:01, D(u1, u2) ≈ 0.0087, preserving continuous circadian neighborhood geometry.</w:t>
            </w:r>
          </w:p>
        </w:tc>
      </w:tr>
    </w:tbl>
    <w:p>
      <w:pPr>
        <w:spacing w:before="0" w:after="120"/>
      </w:pPr>
    </w:p>
    <w:p>
      <w:pPr>
        <w:pStyle w:val="Heading2"/>
        <w:keepNext/>
        <w:spacing w:before="280" w:after="80"/>
      </w:pPr>
      <w:r>
        <w:rPr>
          <w:rFonts w:ascii="Calibri" w:hAnsi="Calibri"/>
          <w:b/>
          <w:color w:val="2B6CB0"/>
          <w:sz w:val="26"/>
        </w:rPr>
        <w:t>4.3 Distributional Scaling Evaluation: RobustScaler vs. StandardScaler vs. MinMaxScaler</w:t>
      </w:r>
    </w:p>
    <w:tbl>
      <w:tblPr>
        <w:tblW w:type="auto" w:w="0"/>
        <w:jc w:val="center"/>
        <w:tblLayout w:type="fixed"/>
        <w:tblLook w:firstColumn="1" w:firstRow="1" w:lastColumn="0" w:lastRow="0" w:noHBand="0" w:noVBand="1" w:val="04A0"/>
        <w:tblBorders>
          <w:top w:val="single" w:sz="4" w:space="0" w:color="CBD5E0"/>
          <w:left w:val="none" w:sz="0" w:space="0" w:color="auto"/>
          <w:bottom w:val="single" w:sz="8" w:space="0" w:color="1A365D"/>
          <w:right w:val="none" w:sz="0" w:space="0" w:color="auto"/>
          <w:insideH w:val="single" w:sz="4" w:space="0" w:color="CBD5E0"/>
          <w:insideV w:val="none" w:sz="0" w:space="0" w:color="auto"/>
        </w:tblBorders>
      </w:tblPr>
      <w:tblGrid>
        <w:gridCol w:w="2340"/>
        <w:gridCol w:w="2340"/>
        <w:gridCol w:w="2340"/>
        <w:gridCol w:w="2340"/>
      </w:tblGrid>
      <w:tr>
        <w:tc>
          <w:tcPr>
            <w:tcW w:type="dxa" w:w="1872"/>
            <w:shd w:fill="1A365D"/>
            <w:tcMar>
              <w:top w:w="80" w:type="dxa"/>
              <w:bottom w:w="80" w:type="dxa"/>
              <w:left w:w="80" w:type="dxa"/>
              <w:right w:w="80" w:type="dxa"/>
            </w:tcMar>
          </w:tcPr>
          <w:p>
            <w:r>
              <w:rPr>
                <w:rFonts w:ascii="Calibri" w:hAnsi="Calibri"/>
                <w:b/>
                <w:color w:val="FFFFFF"/>
                <w:sz w:val="17"/>
              </w:rPr>
              <w:t>Scaler Candidate</w:t>
            </w:r>
          </w:p>
        </w:tc>
        <w:tc>
          <w:tcPr>
            <w:tcW w:type="dxa" w:w="2592"/>
            <w:shd w:fill="1A365D"/>
            <w:tcMar>
              <w:top w:w="80" w:type="dxa"/>
              <w:bottom w:w="80" w:type="dxa"/>
              <w:left w:w="80" w:type="dxa"/>
              <w:right w:w="80" w:type="dxa"/>
            </w:tcMar>
          </w:tcPr>
          <w:p>
            <w:r>
              <w:rPr>
                <w:rFonts w:ascii="Calibri" w:hAnsi="Calibri"/>
                <w:b/>
                <w:color w:val="FFFFFF"/>
                <w:sz w:val="17"/>
              </w:rPr>
              <w:t>Mathematical Formulation</w:t>
            </w:r>
          </w:p>
        </w:tc>
        <w:tc>
          <w:tcPr>
            <w:tcW w:type="dxa" w:w="1440"/>
            <w:shd w:fill="1A365D"/>
            <w:tcMar>
              <w:top w:w="80" w:type="dxa"/>
              <w:bottom w:w="80" w:type="dxa"/>
              <w:left w:w="80" w:type="dxa"/>
              <w:right w:w="80" w:type="dxa"/>
            </w:tcMar>
          </w:tcPr>
          <w:p>
            <w:r>
              <w:rPr>
                <w:rFonts w:ascii="Calibri" w:hAnsi="Calibri"/>
                <w:b/>
                <w:color w:val="FFFFFF"/>
                <w:sz w:val="17"/>
              </w:rPr>
              <w:t>Breakdown Point</w:t>
            </w:r>
          </w:p>
        </w:tc>
        <w:tc>
          <w:tcPr>
            <w:tcW w:type="dxa" w:w="3456"/>
            <w:shd w:fill="1A365D"/>
            <w:tcMar>
              <w:top w:w="80" w:type="dxa"/>
              <w:bottom w:w="80" w:type="dxa"/>
              <w:left w:w="80" w:type="dxa"/>
              <w:right w:w="80" w:type="dxa"/>
            </w:tcMar>
          </w:tcPr>
          <w:p>
            <w:r>
              <w:rPr>
                <w:rFonts w:ascii="Calibri" w:hAnsi="Calibri"/>
                <w:b/>
                <w:color w:val="FFFFFF"/>
                <w:sz w:val="17"/>
              </w:rPr>
              <w:t>Logistics Domain Impact &amp; Vulnerability</w:t>
            </w:r>
          </w:p>
        </w:tc>
      </w:tr>
      <w:tr>
        <w:tc>
          <w:tcPr>
            <w:tcW w:type="dxa" w:w="1872"/>
            <w:tcMar>
              <w:top w:w="60" w:type="dxa"/>
              <w:bottom w:w="60" w:type="dxa"/>
              <w:left w:w="70" w:type="dxa"/>
              <w:right w:w="70" w:type="dxa"/>
            </w:tcMar>
          </w:tcPr>
          <w:p>
            <w:pPr>
              <w:spacing w:before="0" w:after="0"/>
            </w:pPr>
            <w:r>
              <w:rPr>
                <w:rFonts w:ascii="Calibri" w:hAnsi="Calibri"/>
                <w:color w:val="2D3748"/>
                <w:sz w:val="16"/>
              </w:rPr>
              <w:t>MinMaxScaler</w:t>
            </w:r>
          </w:p>
        </w:tc>
        <w:tc>
          <w:tcPr>
            <w:tcW w:type="dxa" w:w="2592"/>
            <w:tcMar>
              <w:top w:w="60" w:type="dxa"/>
              <w:bottom w:w="60" w:type="dxa"/>
              <w:left w:w="70" w:type="dxa"/>
              <w:right w:w="70" w:type="dxa"/>
            </w:tcMar>
          </w:tcPr>
          <w:p>
            <w:pPr>
              <w:spacing w:before="0" w:after="0"/>
            </w:pPr>
            <w:r>
              <w:rPr>
                <w:rFonts w:ascii="Calibri" w:hAnsi="Calibri"/>
                <w:color w:val="2D3748"/>
                <w:sz w:val="16"/>
              </w:rPr>
              <w:t>X_norm = (X - X_min) / (X_max - X_min)</w:t>
            </w:r>
          </w:p>
        </w:tc>
        <w:tc>
          <w:tcPr>
            <w:tcW w:type="dxa" w:w="1440"/>
            <w:tcMar>
              <w:top w:w="60" w:type="dxa"/>
              <w:bottom w:w="60" w:type="dxa"/>
              <w:left w:w="70" w:type="dxa"/>
              <w:right w:w="70" w:type="dxa"/>
            </w:tcMar>
          </w:tcPr>
          <w:p>
            <w:pPr>
              <w:spacing w:before="0" w:after="0"/>
            </w:pPr>
            <w:r>
              <w:rPr>
                <w:rFonts w:ascii="Calibri" w:hAnsi="Calibri"/>
                <w:color w:val="2D3748"/>
                <w:sz w:val="16"/>
              </w:rPr>
              <w:t>0.0%</w:t>
            </w:r>
          </w:p>
        </w:tc>
        <w:tc>
          <w:tcPr>
            <w:tcW w:type="dxa" w:w="3456"/>
            <w:tcMar>
              <w:top w:w="60" w:type="dxa"/>
              <w:bottom w:w="60" w:type="dxa"/>
              <w:left w:w="70" w:type="dxa"/>
              <w:right w:w="70" w:type="dxa"/>
            </w:tcMar>
          </w:tcPr>
          <w:p>
            <w:pPr>
              <w:spacing w:before="0" w:after="0"/>
            </w:pPr>
            <w:r>
              <w:rPr>
                <w:rFonts w:ascii="Calibri" w:hAnsi="Calibri"/>
                <w:color w:val="2D3748"/>
                <w:sz w:val="16"/>
              </w:rPr>
              <w:t>Catastrophic failure: Extreme freight outliers (25,000 kg) compress standard parcels (0.5-15 kg) into [0.0001, 0.0006], collapsing gradients.</w:t>
            </w:r>
          </w:p>
        </w:tc>
      </w:tr>
      <w:tr>
        <w:tc>
          <w:tcPr>
            <w:tcW w:type="dxa" w:w="1872"/>
            <w:tcMar>
              <w:top w:w="60" w:type="dxa"/>
              <w:bottom w:w="60" w:type="dxa"/>
              <w:left w:w="70" w:type="dxa"/>
              <w:right w:w="70" w:type="dxa"/>
            </w:tcMar>
            <w:shd w:fill="F7FAFC"/>
          </w:tcPr>
          <w:p>
            <w:pPr>
              <w:spacing w:before="0" w:after="0"/>
            </w:pPr>
            <w:r>
              <w:rPr>
                <w:rFonts w:ascii="Calibri" w:hAnsi="Calibri"/>
                <w:color w:val="2D3748"/>
                <w:sz w:val="16"/>
              </w:rPr>
              <w:t>StandardScaler</w:t>
            </w:r>
          </w:p>
        </w:tc>
        <w:tc>
          <w:tcPr>
            <w:tcW w:type="dxa" w:w="2592"/>
            <w:tcMar>
              <w:top w:w="60" w:type="dxa"/>
              <w:bottom w:w="60" w:type="dxa"/>
              <w:left w:w="70" w:type="dxa"/>
              <w:right w:w="70" w:type="dxa"/>
            </w:tcMar>
            <w:shd w:fill="F7FAFC"/>
          </w:tcPr>
          <w:p>
            <w:pPr>
              <w:spacing w:before="0" w:after="0"/>
            </w:pPr>
            <w:r>
              <w:rPr>
                <w:rFonts w:ascii="Calibri" w:hAnsi="Calibri"/>
                <w:color w:val="2D3748"/>
                <w:sz w:val="16"/>
              </w:rPr>
              <w:t>Z = (X - mu) / sigma</w:t>
            </w:r>
          </w:p>
        </w:tc>
        <w:tc>
          <w:tcPr>
            <w:tcW w:type="dxa" w:w="1440"/>
            <w:tcMar>
              <w:top w:w="60" w:type="dxa"/>
              <w:bottom w:w="60" w:type="dxa"/>
              <w:left w:w="70" w:type="dxa"/>
              <w:right w:w="70" w:type="dxa"/>
            </w:tcMar>
            <w:shd w:fill="F7FAFC"/>
          </w:tcPr>
          <w:p>
            <w:pPr>
              <w:spacing w:before="0" w:after="0"/>
            </w:pPr>
            <w:r>
              <w:rPr>
                <w:rFonts w:ascii="Calibri" w:hAnsi="Calibri"/>
                <w:color w:val="2D3748"/>
                <w:sz w:val="16"/>
              </w:rPr>
              <w:t>0.0%</w:t>
            </w:r>
          </w:p>
        </w:tc>
        <w:tc>
          <w:tcPr>
            <w:tcW w:type="dxa" w:w="3456"/>
            <w:tcMar>
              <w:top w:w="60" w:type="dxa"/>
              <w:bottom w:w="60" w:type="dxa"/>
              <w:left w:w="70" w:type="dxa"/>
              <w:right w:w="70" w:type="dxa"/>
            </w:tcMar>
            <w:shd w:fill="F7FAFC"/>
          </w:tcPr>
          <w:p>
            <w:pPr>
              <w:spacing w:before="0" w:after="0"/>
            </w:pPr>
            <w:r>
              <w:rPr>
                <w:rFonts w:ascii="Calibri" w:hAnsi="Calibri"/>
                <w:color w:val="2D3748"/>
                <w:sz w:val="16"/>
              </w:rPr>
              <w:t>High sensitivity: Power-law tails inflate sample variance sigma^2, shifting mu rightward and compressing standard deliveries into negative Z-scores.</w:t>
            </w:r>
          </w:p>
        </w:tc>
      </w:tr>
      <w:tr>
        <w:tc>
          <w:tcPr>
            <w:tcW w:type="dxa" w:w="1872"/>
            <w:tcMar>
              <w:top w:w="60" w:type="dxa"/>
              <w:bottom w:w="60" w:type="dxa"/>
              <w:left w:w="70" w:type="dxa"/>
              <w:right w:w="70" w:type="dxa"/>
            </w:tcMar>
          </w:tcPr>
          <w:p>
            <w:pPr>
              <w:spacing w:before="0" w:after="0"/>
            </w:pPr>
            <w:r>
              <w:rPr>
                <w:rFonts w:ascii="Calibri" w:hAnsi="Calibri"/>
                <w:b/>
                <w:color w:val="1A365D"/>
                <w:sz w:val="16"/>
              </w:rPr>
              <w:t>RobustScaler (Selected)</w:t>
            </w:r>
          </w:p>
        </w:tc>
        <w:tc>
          <w:tcPr>
            <w:tcW w:type="dxa" w:w="2592"/>
            <w:tcMar>
              <w:top w:w="60" w:type="dxa"/>
              <w:bottom w:w="60" w:type="dxa"/>
              <w:left w:w="70" w:type="dxa"/>
              <w:right w:w="70" w:type="dxa"/>
            </w:tcMar>
          </w:tcPr>
          <w:p>
            <w:pPr>
              <w:spacing w:before="0" w:after="0"/>
            </w:pPr>
            <w:r>
              <w:rPr>
                <w:rFonts w:ascii="Calibri" w:hAnsi="Calibri"/>
                <w:color w:val="2D3748"/>
                <w:sz w:val="16"/>
              </w:rPr>
              <w:t>X_robust = (X - Q2) / (Q3 - Q1)</w:t>
            </w:r>
          </w:p>
        </w:tc>
        <w:tc>
          <w:tcPr>
            <w:tcW w:type="dxa" w:w="1440"/>
            <w:tcMar>
              <w:top w:w="60" w:type="dxa"/>
              <w:bottom w:w="60" w:type="dxa"/>
              <w:left w:w="70" w:type="dxa"/>
              <w:right w:w="70" w:type="dxa"/>
            </w:tcMar>
          </w:tcPr>
          <w:p>
            <w:pPr>
              <w:spacing w:before="0" w:after="0"/>
            </w:pPr>
            <w:r>
              <w:rPr>
                <w:rFonts w:ascii="Calibri" w:hAnsi="Calibri"/>
                <w:color w:val="2D3748"/>
                <w:sz w:val="16"/>
              </w:rPr>
              <w:t>25.0% - 50.0%</w:t>
            </w:r>
          </w:p>
        </w:tc>
        <w:tc>
          <w:tcPr>
            <w:tcW w:type="dxa" w:w="3456"/>
            <w:tcMar>
              <w:top w:w="60" w:type="dxa"/>
              <w:bottom w:w="60" w:type="dxa"/>
              <w:left w:w="70" w:type="dxa"/>
              <w:right w:w="70" w:type="dxa"/>
            </w:tcMar>
          </w:tcPr>
          <w:p>
            <w:pPr>
              <w:spacing w:before="0" w:after="0"/>
            </w:pPr>
            <w:r>
              <w:rPr>
                <w:rFonts w:ascii="Calibri" w:hAnsi="Calibri"/>
                <w:color w:val="2D3748"/>
                <w:sz w:val="16"/>
              </w:rPr>
              <w:t>Optimal choice: Centers standard deliveries around 0.0 with unit IQR spread. Heavy freight retains positive magnitude without collapsing model training.</w:t>
            </w:r>
          </w:p>
        </w:tc>
      </w:tr>
    </w:tbl>
    <w:p>
      <w:pPr>
        <w:spacing w:after="120"/>
      </w:pPr>
    </w:p>
    <w:p>
      <w:pPr>
        <w:pStyle w:val="Heading2"/>
        <w:keepNext/>
        <w:spacing w:before="280" w:after="80"/>
      </w:pPr>
      <w:r>
        <w:rPr>
          <w:rFonts w:ascii="Calibri" w:hAnsi="Calibri"/>
          <w:b/>
          <w:color w:val="2B6CB0"/>
          <w:sz w:val="26"/>
        </w:rPr>
        <w:t>4.4 Central Tendency Imputation Mechanics &amp; Target Leakage Prevention</w:t>
      </w:r>
    </w:p>
    <w:p>
      <w:pPr>
        <w:spacing w:after="80"/>
      </w:pPr>
      <w:r>
        <w:t>For continuous positive physical attributes (cargo weight, cubic volume), the sample arithmetic mean has a breakdown point of 0%. A single miscalibrated load cell reporting 999,999 kg inflates the mean infinitely, corrupting imputed records. In contrast, the median has a 50% breakdown point, providing an invariant estimator for long-tailed distributions.</w:t>
      </w:r>
    </w:p>
    <w:p>
      <w:r>
        <w:t>Crucially, imputing missing delivery timestamps with predicted transit durations injects the training target variable (transit_duration = delivery - dispatch) directly into the feature matrix, creating catastrophic Target Leakage. Our architecture eliminates this risk by categorizing unrecorded POD timestamps as explicit operational exception classes ('EXCEPTION_OR_IN_TRANSIT') and isolating them from supervised regression training sets.</w:t>
      </w:r>
    </w:p>
    <w:p>
      <w:pPr>
        <w:pStyle w:val="Heading1"/>
        <w:keepNext/>
        <w:spacing w:before="360" w:after="120"/>
      </w:pPr>
      <w:r>
        <w:rPr>
          <w:rFonts w:ascii="Calibri" w:hAnsi="Calibri"/>
          <w:b/>
          <w:color w:val="1A365D"/>
          <w:sz w:val="32"/>
        </w:rPr>
        <w:t>5. End-to-End Modular Python Preprocessing Pipeline</w:t>
      </w:r>
    </w:p>
    <w:p>
      <w:pPr>
        <w:spacing w:after="120"/>
      </w:pPr>
      <w:r>
        <w:t>The production preprocessing pipeline is implemented across modular Python components under the `src/` directory. Below are the core executable modules governing sanitization, domain validation, and Scikit-Learn ColumnTransformer feature pipelines:</w:t>
      </w:r>
    </w:p>
    <w:tbl>
      <w:tblPr>
        <w:tblW w:type="auto" w:w="0"/>
        <w:jc w:val="center"/>
        <w:tblLayout w:type="fixed"/>
        <w:tblLook w:firstColumn="1" w:firstRow="1" w:lastColumn="0" w:lastRow="0" w:noHBand="0" w:noVBand="1" w:val="04A0"/>
      </w:tblPr>
      <w:tblGrid>
        <w:gridCol w:w="9360"/>
      </w:tblGrid>
      <w:tr>
        <w:tc>
          <w:tcPr>
            <w:tcW w:type="dxa" w:w="9360"/>
            <w:shd w:fill="F1F5F9"/>
            <w:tcBorders>
              <w:top w:val="none" w:sz="0" w:space="0" w:color="auto"/>
              <w:left w:val="single" w:sz="24" w:space="0" w:color="2B6CB0"/>
              <w:bottom w:val="none" w:sz="0" w:space="0" w:color="auto"/>
              <w:right w:val="none" w:sz="0" w:space="0" w:color="auto"/>
            </w:tcBorders>
            <w:tcMar>
              <w:top w:w="100" w:type="dxa"/>
              <w:bottom w:w="100" w:type="dxa"/>
              <w:left w:w="160" w:type="dxa"/>
              <w:right w:w="120" w:type="dxa"/>
            </w:tcMar>
          </w:tcPr>
          <w:p>
            <w:pPr>
              <w:spacing w:before="40" w:after="40" w:line="252" w:lineRule="auto"/>
            </w:pPr>
            <w:r>
              <w:rPr>
                <w:rFonts w:ascii="Consolas" w:hAnsi="Consolas"/>
                <w:color w:val="1E293B"/>
                <w:sz w:val="17"/>
              </w:rPr>
              <w:t># Scikit-Learn ColumnTransformer Pipeline Architecture (src/pipeline.py)</w:t>
              <w:br/>
              <w:t>from sklearn.compose import ColumnTransformer</w:t>
              <w:br/>
              <w:t>from sklearn.impute import SimpleImputer</w:t>
              <w:br/>
              <w:t>from sklearn.pipeline import Pipeline</w:t>
              <w:br/>
              <w:t>from sklearn.preprocessing import OneHotEncoder, RobustScaler</w:t>
              <w:br/>
              <w:t>from src.transformers import (</w:t>
              <w:br/>
              <w:t xml:space="preserve">    CyclicalTemporalTransformer,</w:t>
              <w:br/>
              <w:t xml:space="preserve">    Log1pVarianceStabilizer,</w:t>
              <w:br/>
              <w:t xml:space="preserve">    TrainFittedTukeyWinsorizer,</w:t>
              <w:br/>
              <w:t>)</w:t>
              <w:br/>
              <w:br/>
              <w:t>def build_logistics_feature_pipeline() -&gt; ColumnTransformer:</w:t>
              <w:br/>
              <w:t xml:space="preserve">    # 1. Skewed physical features: Median Imputer -&gt; Log1p -&gt; RobustScaler</w:t>
              <w:br/>
              <w:t xml:space="preserve">    skewed_pipeline = Pipeline([</w:t>
              <w:br/>
              <w:t xml:space="preserve">        ("imputer", SimpleImputer(strategy="median")),</w:t>
              <w:br/>
              <w:t xml:space="preserve">        ("log1p", Log1pVarianceStabilizer()),</w:t>
              <w:br/>
              <w:t xml:space="preserve">        ("scaler", RobustScaler(with_centering=True, with_scaling=True)),</w:t>
              <w:br/>
              <w:t xml:space="preserve">    ])</w:t>
              <w:br/>
              <w:br/>
              <w:t xml:space="preserve">    # 2. Linear continuous features: Median Imputer -&gt; Tukey Winsorizer -&gt; RobustScaler</w:t>
              <w:br/>
              <w:t xml:space="preserve">    linear_pipeline = Pipeline([</w:t>
              <w:br/>
              <w:t xml:space="preserve">        ("imputer", SimpleImputer(strategy="median")),</w:t>
              <w:br/>
              <w:t xml:space="preserve">        ("winsorizer", TrainFittedTukeyWinsorizer(k=1.5, floor_zero=True)),</w:t>
              <w:br/>
              <w:t xml:space="preserve">        ("scaler", RobustScaler(with_centering=True, with_scaling=True)),</w:t>
              <w:br/>
              <w:t xml:space="preserve">    ])</w:t>
              <w:br/>
              <w:br/>
              <w:t xml:space="preserve">    # 3. Temporal cycle: 24h Cyclical sin/cos trigonometric encoding</w:t>
              <w:br/>
              <w:t xml:space="preserve">    temporal_pipeline = Pipeline([</w:t>
              <w:br/>
              <w:t xml:space="preserve">        ("cyclical", CyclicalTemporalTransformer(period=24.0, datetime_col=True)),</w:t>
              <w:br/>
              <w:t xml:space="preserve">    ])</w:t>
              <w:br/>
              <w:br/>
              <w:t xml:space="preserve">    # 4. Categorical master: Missing as 'UNKNOWN' -&gt; OneHotEncoder(drop='first')</w:t>
              <w:br/>
              <w:t xml:space="preserve">    categorical_pipeline = Pipeline([</w:t>
              <w:br/>
              <w:t xml:space="preserve">        ("imputer", SimpleImputer(strategy="constant", fill_value="UNKNOWN")),</w:t>
              <w:br/>
              <w:t xml:space="preserve">        ("encoder", OneHotEncoder(drop="first", sparse_output=False, handle_unknown="ignore")),</w:t>
              <w:br/>
              <w:t xml:space="preserve">    ])</w:t>
              <w:br/>
              <w:br/>
              <w:t xml:space="preserve">    return ColumnTransformer(</w:t>
              <w:br/>
              <w:t xml:space="preserve">        transformers=[</w:t>
              <w:br/>
              <w:t xml:space="preserve">            ("skewed_phys", skewed_pipeline, ["cargo_weight_kg", "package_volume_m3"]),</w:t>
              <w:br/>
              <w:t xml:space="preserve">            ("linear_cont", linear_pipeline, ["transit_distance_km", "freight_cost_usd"]),</w:t>
              <w:br/>
              <w:t xml:space="preserve">            ("sla_order", Pipeline([("imp", SimpleImputer(strategy="median")), ("scl", RobustScaler())]), ["scheduled_days"]),</w:t>
              <w:br/>
              <w:t xml:space="preserve">            ("temporal", temporal_pipeline, ["dispatch_timestamp"]),</w:t>
              <w:br/>
              <w:t xml:space="preserve">            ("categorical", categorical_pipeline, ["carrier_name", "origin_hub", "destination_zone", "vehicle_type"]),</w:t>
              <w:br/>
              <w:t xml:space="preserve">        ],</w:t>
              <w:br/>
              <w:t xml:space="preserve">        remainder="drop",</w:t>
              <w:br/>
              <w:t xml:space="preserve">    )</w:t>
            </w:r>
          </w:p>
        </w:tc>
      </w:tr>
    </w:tbl>
    <w:p>
      <w:pPr>
        <w:spacing w:before="0" w:after="120"/>
      </w:pPr>
    </w:p>
    <w:p>
      <w:pPr>
        <w:pStyle w:val="Heading2"/>
        <w:keepNext/>
        <w:spacing w:before="280" w:after="80"/>
      </w:pPr>
      <w:r>
        <w:rPr>
          <w:rFonts w:ascii="Calibri" w:hAnsi="Calibri"/>
          <w:b/>
          <w:color w:val="2B6CB0"/>
          <w:sz w:val="26"/>
        </w:rPr>
        <w:t>5.1 Preprocessing Audit &amp; Empirical Execution Results</w:t>
      </w:r>
    </w:p>
    <w:p>
      <w:r>
        <w:t>The end-to-end pipeline was executed on 2,000 raw telematics records generated by the multi-tier simulation engine. The execution audit confirmed high operational yield, effective anomaly purge, and substantial skewness reduction:</w:t>
      </w:r>
    </w:p>
    <w:tbl>
      <w:tblPr>
        <w:tblW w:type="auto" w:w="0"/>
        <w:jc w:val="center"/>
        <w:tblLayout w:type="fixed"/>
        <w:tblLook w:firstColumn="1" w:firstRow="1" w:lastColumn="0" w:lastRow="0" w:noHBand="0" w:noVBand="1" w:val="04A0"/>
        <w:tblBorders>
          <w:top w:val="single" w:sz="4" w:space="0" w:color="CBD5E0"/>
          <w:left w:val="none" w:sz="0" w:space="0" w:color="auto"/>
          <w:bottom w:val="single" w:sz="8" w:space="0" w:color="1A365D"/>
          <w:right w:val="none" w:sz="0" w:space="0" w:color="auto"/>
          <w:insideH w:val="single" w:sz="4" w:space="0" w:color="CBD5E0"/>
          <w:insideV w:val="none" w:sz="0" w:space="0" w:color="auto"/>
        </w:tblBorders>
      </w:tblPr>
      <w:tblGrid>
        <w:gridCol w:w="3120"/>
        <w:gridCol w:w="3120"/>
        <w:gridCol w:w="3120"/>
      </w:tblGrid>
      <w:tr>
        <w:tc>
          <w:tcPr>
            <w:tcW w:type="dxa" w:w="3168"/>
            <w:shd w:fill="1A365D"/>
            <w:tcMar>
              <w:top w:w="80" w:type="dxa"/>
              <w:bottom w:w="80" w:type="dxa"/>
              <w:left w:w="80" w:type="dxa"/>
              <w:right w:w="80" w:type="dxa"/>
            </w:tcMar>
          </w:tcPr>
          <w:p>
            <w:r>
              <w:rPr>
                <w:rFonts w:ascii="Calibri" w:hAnsi="Calibri"/>
                <w:b/>
                <w:color w:val="FFFFFF"/>
                <w:sz w:val="17"/>
              </w:rPr>
              <w:t>Ingestion Audit Metric</w:t>
            </w:r>
          </w:p>
        </w:tc>
        <w:tc>
          <w:tcPr>
            <w:tcW w:type="dxa" w:w="2304"/>
            <w:shd w:fill="1A365D"/>
            <w:tcMar>
              <w:top w:w="80" w:type="dxa"/>
              <w:bottom w:w="80" w:type="dxa"/>
              <w:left w:w="80" w:type="dxa"/>
              <w:right w:w="80" w:type="dxa"/>
            </w:tcMar>
          </w:tcPr>
          <w:p>
            <w:r>
              <w:rPr>
                <w:rFonts w:ascii="Calibri" w:hAnsi="Calibri"/>
                <w:b/>
                <w:color w:val="FFFFFF"/>
                <w:sz w:val="17"/>
              </w:rPr>
              <w:t>Observed Stage Value</w:t>
            </w:r>
          </w:p>
        </w:tc>
        <w:tc>
          <w:tcPr>
            <w:tcW w:type="dxa" w:w="3888"/>
            <w:shd w:fill="1A365D"/>
            <w:tcMar>
              <w:top w:w="80" w:type="dxa"/>
              <w:bottom w:w="80" w:type="dxa"/>
              <w:left w:w="80" w:type="dxa"/>
              <w:right w:w="80" w:type="dxa"/>
            </w:tcMar>
          </w:tcPr>
          <w:p>
            <w:r>
              <w:rPr>
                <w:rFonts w:ascii="Calibri" w:hAnsi="Calibri"/>
                <w:b/>
                <w:color w:val="FFFFFF"/>
                <w:sz w:val="17"/>
              </w:rPr>
              <w:t>Engineering Significance &amp; Validation</w:t>
            </w:r>
          </w:p>
        </w:tc>
      </w:tr>
      <w:tr>
        <w:tc>
          <w:tcPr>
            <w:tcW w:type="dxa" w:w="3168"/>
            <w:tcMar>
              <w:top w:w="50" w:type="dxa"/>
              <w:bottom w:w="50" w:type="dxa"/>
              <w:left w:w="70" w:type="dxa"/>
              <w:right w:w="70" w:type="dxa"/>
            </w:tcMar>
          </w:tcPr>
          <w:p>
            <w:pPr>
              <w:spacing w:before="0" w:after="0"/>
            </w:pPr>
            <w:r>
              <w:rPr>
                <w:rFonts w:ascii="Calibri" w:hAnsi="Calibri"/>
                <w:color w:val="2D3748"/>
                <w:sz w:val="16"/>
              </w:rPr>
              <w:t>Total Ingestion Stream</w:t>
            </w:r>
          </w:p>
        </w:tc>
        <w:tc>
          <w:tcPr>
            <w:tcW w:type="dxa" w:w="2304"/>
            <w:tcMar>
              <w:top w:w="50" w:type="dxa"/>
              <w:bottom w:w="50" w:type="dxa"/>
              <w:left w:w="70" w:type="dxa"/>
              <w:right w:w="70" w:type="dxa"/>
            </w:tcMar>
          </w:tcPr>
          <w:p>
            <w:pPr>
              <w:spacing w:before="0" w:after="0"/>
            </w:pPr>
            <w:r>
              <w:rPr>
                <w:rFonts w:ascii="Calibri" w:hAnsi="Calibri"/>
                <w:color w:val="2D3748"/>
                <w:sz w:val="16"/>
              </w:rPr>
              <w:t>2,000 records</w:t>
            </w:r>
          </w:p>
        </w:tc>
        <w:tc>
          <w:tcPr>
            <w:tcW w:type="dxa" w:w="3888"/>
            <w:tcMar>
              <w:top w:w="50" w:type="dxa"/>
              <w:bottom w:w="50" w:type="dxa"/>
              <w:left w:w="70" w:type="dxa"/>
              <w:right w:w="70" w:type="dxa"/>
            </w:tcMar>
          </w:tcPr>
          <w:p>
            <w:pPr>
              <w:spacing w:before="0" w:after="0"/>
            </w:pPr>
            <w:r>
              <w:rPr>
                <w:rFonts w:ascii="Calibri" w:hAnsi="Calibri"/>
                <w:color w:val="2D3748"/>
                <w:sz w:val="16"/>
              </w:rPr>
              <w:t>Raw multi-tier stream containing injected domain defects</w:t>
            </w:r>
          </w:p>
        </w:tc>
      </w:tr>
      <w:tr>
        <w:tc>
          <w:tcPr>
            <w:tcW w:type="dxa" w:w="3168"/>
            <w:tcMar>
              <w:top w:w="50" w:type="dxa"/>
              <w:bottom w:w="50" w:type="dxa"/>
              <w:left w:w="70" w:type="dxa"/>
              <w:right w:w="70" w:type="dxa"/>
            </w:tcMar>
            <w:shd w:fill="F7FAFC"/>
          </w:tcPr>
          <w:p>
            <w:pPr>
              <w:spacing w:before="0" w:after="0"/>
            </w:pPr>
            <w:r>
              <w:rPr>
                <w:rFonts w:ascii="Calibri" w:hAnsi="Calibri"/>
                <w:color w:val="2D3748"/>
                <w:sz w:val="16"/>
              </w:rPr>
              <w:t>Duplicate Consignments Purged</w:t>
            </w:r>
          </w:p>
        </w:tc>
        <w:tc>
          <w:tcPr>
            <w:tcW w:type="dxa" w:w="2304"/>
            <w:tcMar>
              <w:top w:w="50" w:type="dxa"/>
              <w:bottom w:w="50" w:type="dxa"/>
              <w:left w:w="70" w:type="dxa"/>
              <w:right w:w="70" w:type="dxa"/>
            </w:tcMar>
            <w:shd w:fill="F7FAFC"/>
          </w:tcPr>
          <w:p>
            <w:pPr>
              <w:spacing w:before="0" w:after="0"/>
            </w:pPr>
            <w:r>
              <w:rPr>
                <w:rFonts w:ascii="Calibri" w:hAnsi="Calibri"/>
                <w:color w:val="2D3748"/>
                <w:sz w:val="16"/>
              </w:rPr>
              <w:t>8 records (0.40%)</w:t>
            </w:r>
          </w:p>
        </w:tc>
        <w:tc>
          <w:tcPr>
            <w:tcW w:type="dxa" w:w="3888"/>
            <w:tcMar>
              <w:top w:w="50" w:type="dxa"/>
              <w:bottom w:w="50" w:type="dxa"/>
              <w:left w:w="70" w:type="dxa"/>
              <w:right w:w="70" w:type="dxa"/>
            </w:tcMar>
            <w:shd w:fill="F7FAFC"/>
          </w:tcPr>
          <w:p>
            <w:pPr>
              <w:spacing w:before="0" w:after="0"/>
            </w:pPr>
            <w:r>
              <w:rPr>
                <w:rFonts w:ascii="Calibri" w:hAnsi="Calibri"/>
                <w:color w:val="2D3748"/>
                <w:sz w:val="16"/>
              </w:rPr>
              <w:t>Eliminated redundant transmissions, preserving earliest arrival</w:t>
            </w:r>
          </w:p>
        </w:tc>
      </w:tr>
      <w:tr>
        <w:tc>
          <w:tcPr>
            <w:tcW w:type="dxa" w:w="3168"/>
            <w:tcMar>
              <w:top w:w="50" w:type="dxa"/>
              <w:bottom w:w="50" w:type="dxa"/>
              <w:left w:w="70" w:type="dxa"/>
              <w:right w:w="70" w:type="dxa"/>
            </w:tcMar>
          </w:tcPr>
          <w:p>
            <w:pPr>
              <w:spacing w:before="0" w:after="0"/>
            </w:pPr>
            <w:r>
              <w:rPr>
                <w:rFonts w:ascii="Calibri" w:hAnsi="Calibri"/>
                <w:color w:val="2D3748"/>
                <w:sz w:val="16"/>
              </w:rPr>
              <w:t>Geospatial Violations Dropped</w:t>
            </w:r>
          </w:p>
        </w:tc>
        <w:tc>
          <w:tcPr>
            <w:tcW w:type="dxa" w:w="2304"/>
            <w:tcMar>
              <w:top w:w="50" w:type="dxa"/>
              <w:bottom w:w="50" w:type="dxa"/>
              <w:left w:w="70" w:type="dxa"/>
              <w:right w:w="70" w:type="dxa"/>
            </w:tcMar>
          </w:tcPr>
          <w:p>
            <w:pPr>
              <w:spacing w:before="0" w:after="0"/>
            </w:pPr>
            <w:r>
              <w:rPr>
                <w:rFonts w:ascii="Calibri" w:hAnsi="Calibri"/>
                <w:color w:val="2D3748"/>
                <w:sz w:val="16"/>
              </w:rPr>
              <w:t>19 records (0.95%)</w:t>
            </w:r>
          </w:p>
        </w:tc>
        <w:tc>
          <w:tcPr>
            <w:tcW w:type="dxa" w:w="3888"/>
            <w:tcMar>
              <w:top w:w="50" w:type="dxa"/>
              <w:bottom w:w="50" w:type="dxa"/>
              <w:left w:w="70" w:type="dxa"/>
              <w:right w:w="70" w:type="dxa"/>
            </w:tcMar>
          </w:tcPr>
          <w:p>
            <w:pPr>
              <w:spacing w:before="0" w:after="0"/>
            </w:pPr>
            <w:r>
              <w:rPr>
                <w:rFonts w:ascii="Calibri" w:hAnsi="Calibri"/>
                <w:color w:val="2D3748"/>
                <w:sz w:val="16"/>
              </w:rPr>
              <w:t>Eliminated Null Island (0,0), coordinate swaps, and out-of-bounds pings</w:t>
            </w:r>
          </w:p>
        </w:tc>
      </w:tr>
      <w:tr>
        <w:tc>
          <w:tcPr>
            <w:tcW w:type="dxa" w:w="3168"/>
            <w:tcMar>
              <w:top w:w="50" w:type="dxa"/>
              <w:bottom w:w="50" w:type="dxa"/>
              <w:left w:w="70" w:type="dxa"/>
              <w:right w:w="70" w:type="dxa"/>
            </w:tcMar>
            <w:shd w:fill="F7FAFC"/>
          </w:tcPr>
          <w:p>
            <w:pPr>
              <w:spacing w:before="0" w:after="0"/>
            </w:pPr>
            <w:r>
              <w:rPr>
                <w:rFonts w:ascii="Calibri" w:hAnsi="Calibri"/>
                <w:color w:val="2D3748"/>
                <w:sz w:val="16"/>
              </w:rPr>
              <w:t>Chronological Inversions Dropped</w:t>
            </w:r>
          </w:p>
        </w:tc>
        <w:tc>
          <w:tcPr>
            <w:tcW w:type="dxa" w:w="2304"/>
            <w:tcMar>
              <w:top w:w="50" w:type="dxa"/>
              <w:bottom w:w="50" w:type="dxa"/>
              <w:left w:w="70" w:type="dxa"/>
              <w:right w:w="70" w:type="dxa"/>
            </w:tcMar>
            <w:shd w:fill="F7FAFC"/>
          </w:tcPr>
          <w:p>
            <w:pPr>
              <w:spacing w:before="0" w:after="0"/>
            </w:pPr>
            <w:r>
              <w:rPr>
                <w:rFonts w:ascii="Calibri" w:hAnsi="Calibri"/>
                <w:color w:val="2D3748"/>
                <w:sz w:val="16"/>
              </w:rPr>
              <w:t>15 records (0.75%)</w:t>
            </w:r>
          </w:p>
        </w:tc>
        <w:tc>
          <w:tcPr>
            <w:tcW w:type="dxa" w:w="3888"/>
            <w:tcMar>
              <w:top w:w="50" w:type="dxa"/>
              <w:bottom w:w="50" w:type="dxa"/>
              <w:left w:w="70" w:type="dxa"/>
              <w:right w:w="70" w:type="dxa"/>
            </w:tcMar>
            <w:shd w:fill="F7FAFC"/>
          </w:tcPr>
          <w:p>
            <w:pPr>
              <w:spacing w:before="0" w:after="0"/>
            </w:pPr>
            <w:r>
              <w:rPr>
                <w:rFonts w:ascii="Calibri" w:hAnsi="Calibri"/>
                <w:color w:val="2D3748"/>
                <w:sz w:val="16"/>
              </w:rPr>
              <w:t>Purged physically impossible records (delivery &lt; dispatch)</w:t>
            </w:r>
          </w:p>
        </w:tc>
      </w:tr>
      <w:tr>
        <w:tc>
          <w:tcPr>
            <w:tcW w:type="dxa" w:w="3168"/>
            <w:tcMar>
              <w:top w:w="50" w:type="dxa"/>
              <w:bottom w:w="50" w:type="dxa"/>
              <w:left w:w="70" w:type="dxa"/>
              <w:right w:w="70" w:type="dxa"/>
            </w:tcMar>
          </w:tcPr>
          <w:p>
            <w:pPr>
              <w:spacing w:before="0" w:after="0"/>
            </w:pPr>
            <w:r>
              <w:rPr>
                <w:rFonts w:ascii="Calibri" w:hAnsi="Calibri"/>
                <w:color w:val="2D3748"/>
                <w:sz w:val="16"/>
              </w:rPr>
              <w:t>Validated Ingestion Yield</w:t>
            </w:r>
          </w:p>
        </w:tc>
        <w:tc>
          <w:tcPr>
            <w:tcW w:type="dxa" w:w="2304"/>
            <w:tcMar>
              <w:top w:w="50" w:type="dxa"/>
              <w:bottom w:w="50" w:type="dxa"/>
              <w:left w:w="70" w:type="dxa"/>
              <w:right w:w="70" w:type="dxa"/>
            </w:tcMar>
          </w:tcPr>
          <w:p>
            <w:pPr>
              <w:spacing w:before="0" w:after="0"/>
            </w:pPr>
            <w:r>
              <w:rPr>
                <w:rFonts w:ascii="Calibri" w:hAnsi="Calibri"/>
                <w:color w:val="2D3748"/>
                <w:sz w:val="16"/>
              </w:rPr>
              <w:t>1,958 records (97.90%)</w:t>
            </w:r>
          </w:p>
        </w:tc>
        <w:tc>
          <w:tcPr>
            <w:tcW w:type="dxa" w:w="3888"/>
            <w:tcMar>
              <w:top w:w="50" w:type="dxa"/>
              <w:bottom w:w="50" w:type="dxa"/>
              <w:left w:w="70" w:type="dxa"/>
              <w:right w:w="70" w:type="dxa"/>
            </w:tcMar>
          </w:tcPr>
          <w:p>
            <w:pPr>
              <w:spacing w:before="0" w:after="0"/>
            </w:pPr>
            <w:r>
              <w:rPr>
                <w:rFonts w:ascii="Calibri" w:hAnsi="Calibri"/>
                <w:color w:val="2D3748"/>
                <w:sz w:val="16"/>
              </w:rPr>
              <w:t>High operational retention yield for downstream modeling</w:t>
            </w:r>
          </w:p>
        </w:tc>
      </w:tr>
      <w:tr>
        <w:tc>
          <w:tcPr>
            <w:tcW w:type="dxa" w:w="3168"/>
            <w:tcMar>
              <w:top w:w="50" w:type="dxa"/>
              <w:bottom w:w="50" w:type="dxa"/>
              <w:left w:w="70" w:type="dxa"/>
              <w:right w:w="70" w:type="dxa"/>
            </w:tcMar>
            <w:shd w:fill="F7FAFC"/>
          </w:tcPr>
          <w:p>
            <w:pPr>
              <w:spacing w:before="0" w:after="0"/>
            </w:pPr>
            <w:r>
              <w:rPr>
                <w:rFonts w:ascii="Calibri" w:hAnsi="Calibri"/>
                <w:color w:val="2D3748"/>
                <w:sz w:val="16"/>
              </w:rPr>
              <w:t>Operational Status Distribution</w:t>
            </w:r>
          </w:p>
        </w:tc>
        <w:tc>
          <w:tcPr>
            <w:tcW w:type="dxa" w:w="2304"/>
            <w:tcMar>
              <w:top w:w="50" w:type="dxa"/>
              <w:bottom w:w="50" w:type="dxa"/>
              <w:left w:w="70" w:type="dxa"/>
              <w:right w:w="70" w:type="dxa"/>
            </w:tcMar>
            <w:shd w:fill="F7FAFC"/>
          </w:tcPr>
          <w:p>
            <w:pPr>
              <w:spacing w:before="0" w:after="0"/>
            </w:pPr>
            <w:r>
              <w:rPr>
                <w:rFonts w:ascii="Calibri" w:hAnsi="Calibri"/>
                <w:color w:val="2D3748"/>
                <w:sz w:val="16"/>
              </w:rPr>
              <w:t>ON_TIME: 89.4%</w:t>
              <w:br/>
              <w:t>LATE: 7.4%</w:t>
              <w:br/>
              <w:t>EXCEPTION: 3.3%</w:t>
            </w:r>
          </w:p>
        </w:tc>
        <w:tc>
          <w:tcPr>
            <w:tcW w:type="dxa" w:w="3888"/>
            <w:tcMar>
              <w:top w:w="50" w:type="dxa"/>
              <w:bottom w:w="50" w:type="dxa"/>
              <w:left w:w="70" w:type="dxa"/>
              <w:right w:w="70" w:type="dxa"/>
            </w:tcMar>
            <w:shd w:fill="F7FAFC"/>
          </w:tcPr>
          <w:p>
            <w:pPr>
              <w:spacing w:before="0" w:after="0"/>
            </w:pPr>
            <w:r>
              <w:rPr>
                <w:rFonts w:ascii="Calibri" w:hAnsi="Calibri"/>
                <w:color w:val="2D3748"/>
                <w:sz w:val="16"/>
              </w:rPr>
              <w:t>Target leakage eliminated; unrecorded drops isolated as exceptions</w:t>
            </w:r>
          </w:p>
        </w:tc>
      </w:tr>
      <w:tr>
        <w:tc>
          <w:tcPr>
            <w:tcW w:type="dxa" w:w="3168"/>
            <w:tcMar>
              <w:top w:w="50" w:type="dxa"/>
              <w:bottom w:w="50" w:type="dxa"/>
              <w:left w:w="70" w:type="dxa"/>
              <w:right w:w="70" w:type="dxa"/>
            </w:tcMar>
          </w:tcPr>
          <w:p>
            <w:pPr>
              <w:spacing w:before="0" w:after="0"/>
            </w:pPr>
            <w:r>
              <w:rPr>
                <w:rFonts w:ascii="Calibri" w:hAnsi="Calibri"/>
                <w:color w:val="2D3748"/>
                <w:sz w:val="16"/>
              </w:rPr>
              <w:t>Raw Cargo Weight Skewness</w:t>
            </w:r>
          </w:p>
        </w:tc>
        <w:tc>
          <w:tcPr>
            <w:tcW w:type="dxa" w:w="2304"/>
            <w:tcMar>
              <w:top w:w="50" w:type="dxa"/>
              <w:bottom w:w="50" w:type="dxa"/>
              <w:left w:w="70" w:type="dxa"/>
              <w:right w:w="70" w:type="dxa"/>
            </w:tcMar>
          </w:tcPr>
          <w:p>
            <w:pPr>
              <w:spacing w:before="0" w:after="0"/>
            </w:pPr>
            <w:r>
              <w:rPr>
                <w:rFonts w:ascii="Calibri" w:hAnsi="Calibri"/>
                <w:color w:val="2D3748"/>
                <w:sz w:val="16"/>
              </w:rPr>
              <w:t>+11.9722</w:t>
            </w:r>
          </w:p>
        </w:tc>
        <w:tc>
          <w:tcPr>
            <w:tcW w:type="dxa" w:w="3888"/>
            <w:tcMar>
              <w:top w:w="50" w:type="dxa"/>
              <w:bottom w:w="50" w:type="dxa"/>
              <w:left w:w="70" w:type="dxa"/>
              <w:right w:w="70" w:type="dxa"/>
            </w:tcMar>
          </w:tcPr>
          <w:p>
            <w:pPr>
              <w:spacing w:before="0" w:after="0"/>
            </w:pPr>
            <w:r>
              <w:rPr>
                <w:rFonts w:ascii="Calibri" w:hAnsi="Calibri"/>
                <w:color w:val="2D3748"/>
                <w:sz w:val="16"/>
              </w:rPr>
              <w:t>Severe right-tail skew driven by heavy industrial consignments</w:t>
            </w:r>
          </w:p>
        </w:tc>
      </w:tr>
      <w:tr>
        <w:tc>
          <w:tcPr>
            <w:tcW w:type="dxa" w:w="3168"/>
            <w:tcMar>
              <w:top w:w="50" w:type="dxa"/>
              <w:bottom w:w="50" w:type="dxa"/>
              <w:left w:w="70" w:type="dxa"/>
              <w:right w:w="70" w:type="dxa"/>
            </w:tcMar>
            <w:shd w:fill="F7FAFC"/>
          </w:tcPr>
          <w:p>
            <w:pPr>
              <w:spacing w:before="0" w:after="0"/>
            </w:pPr>
            <w:r>
              <w:rPr>
                <w:rFonts w:ascii="Calibri" w:hAnsi="Calibri"/>
                <w:color w:val="2D3748"/>
                <w:sz w:val="16"/>
              </w:rPr>
              <w:t>Post-Log1p Feature Skewness</w:t>
            </w:r>
          </w:p>
        </w:tc>
        <w:tc>
          <w:tcPr>
            <w:tcW w:type="dxa" w:w="2304"/>
            <w:tcMar>
              <w:top w:w="50" w:type="dxa"/>
              <w:bottom w:w="50" w:type="dxa"/>
              <w:left w:w="70" w:type="dxa"/>
              <w:right w:w="70" w:type="dxa"/>
            </w:tcMar>
            <w:shd w:fill="F7FAFC"/>
          </w:tcPr>
          <w:p>
            <w:pPr>
              <w:spacing w:before="0" w:after="0"/>
            </w:pPr>
            <w:r>
              <w:rPr>
                <w:rFonts w:ascii="Calibri" w:hAnsi="Calibri"/>
                <w:color w:val="2D3748"/>
                <w:sz w:val="16"/>
              </w:rPr>
              <w:t>+1.8251</w:t>
            </w:r>
          </w:p>
        </w:tc>
        <w:tc>
          <w:tcPr>
            <w:tcW w:type="dxa" w:w="3888"/>
            <w:tcMar>
              <w:top w:w="50" w:type="dxa"/>
              <w:bottom w:w="50" w:type="dxa"/>
              <w:left w:w="70" w:type="dxa"/>
              <w:right w:w="70" w:type="dxa"/>
            </w:tcMar>
            <w:shd w:fill="F7FAFC"/>
          </w:tcPr>
          <w:p>
            <w:pPr>
              <w:spacing w:before="0" w:after="0"/>
            </w:pPr>
            <w:r>
              <w:rPr>
                <w:rFonts w:ascii="Calibri" w:hAnsi="Calibri"/>
                <w:color w:val="2D3748"/>
                <w:sz w:val="16"/>
              </w:rPr>
              <w:t>84.75% skewness reduction, stabilizing variance and gradient updates</w:t>
            </w:r>
          </w:p>
        </w:tc>
      </w:tr>
    </w:tbl>
    <w:p>
      <w:pPr>
        <w:spacing w:after="120"/>
      </w:pPr>
    </w:p>
    <w:p>
      <w:pPr>
        <w:pStyle w:val="Heading1"/>
        <w:keepNext/>
        <w:spacing w:before="360" w:after="120"/>
      </w:pPr>
      <w:r>
        <w:rPr>
          <w:rFonts w:ascii="Calibri" w:hAnsi="Calibri"/>
          <w:b/>
          <w:color w:val="1A365D"/>
          <w:sz w:val="32"/>
        </w:rPr>
        <w:t>6. Downstream Analytical Impact &amp; Strategic Supply Chain Reflection</w:t>
      </w:r>
    </w:p>
    <w:p>
      <w:pPr>
        <w:spacing w:after="80"/>
      </w:pPr>
      <w:r>
        <w:t>Data preparation directly dictates the stability, accuracy, and business viability of downstream predictive systems:</w:t>
      </w:r>
    </w:p>
    <w:tbl>
      <w:tblPr>
        <w:tblW w:type="auto" w:w="0"/>
        <w:jc w:val="center"/>
        <w:tblLayout w:type="fixed"/>
        <w:tblLook w:firstColumn="1" w:firstRow="1" w:lastColumn="0" w:lastRow="0" w:noHBand="0" w:noVBand="1" w:val="04A0"/>
        <w:tblBorders>
          <w:top w:val="single" w:sz="4" w:space="0" w:color="CBD5E0"/>
          <w:left w:val="none" w:sz="0" w:space="0" w:color="auto"/>
          <w:bottom w:val="single" w:sz="8" w:space="0" w:color="1A365D"/>
          <w:right w:val="none" w:sz="0" w:space="0" w:color="auto"/>
          <w:insideH w:val="single" w:sz="4" w:space="0" w:color="CBD5E0"/>
          <w:insideV w:val="none" w:sz="0" w:space="0" w:color="auto"/>
        </w:tblBorders>
      </w:tblPr>
      <w:tblGrid>
        <w:gridCol w:w="3120"/>
        <w:gridCol w:w="3120"/>
        <w:gridCol w:w="3120"/>
      </w:tblGrid>
      <w:tr>
        <w:tc>
          <w:tcPr>
            <w:tcW w:type="dxa" w:w="2592"/>
            <w:shd w:fill="1A365D"/>
            <w:tcMar>
              <w:top w:w="80" w:type="dxa"/>
              <w:bottom w:w="80" w:type="dxa"/>
              <w:left w:w="80" w:type="dxa"/>
              <w:right w:w="80" w:type="dxa"/>
            </w:tcMar>
          </w:tcPr>
          <w:p>
            <w:r>
              <w:rPr>
                <w:rFonts w:ascii="Calibri" w:hAnsi="Calibri"/>
                <w:b/>
                <w:color w:val="FFFFFF"/>
                <w:sz w:val="17"/>
              </w:rPr>
              <w:t>Downstream Application</w:t>
            </w:r>
          </w:p>
        </w:tc>
        <w:tc>
          <w:tcPr>
            <w:tcW w:type="dxa" w:w="3168"/>
            <w:shd w:fill="1A365D"/>
            <w:tcMar>
              <w:top w:w="80" w:type="dxa"/>
              <w:bottom w:w="80" w:type="dxa"/>
              <w:left w:w="80" w:type="dxa"/>
              <w:right w:w="80" w:type="dxa"/>
            </w:tcMar>
          </w:tcPr>
          <w:p>
            <w:r>
              <w:rPr>
                <w:rFonts w:ascii="Calibri" w:hAnsi="Calibri"/>
                <w:b/>
                <w:color w:val="FFFFFF"/>
                <w:sz w:val="17"/>
              </w:rPr>
              <w:t>Untreated Ingestion Risk</w:t>
            </w:r>
          </w:p>
        </w:tc>
        <w:tc>
          <w:tcPr>
            <w:tcW w:type="dxa" w:w="3600"/>
            <w:shd w:fill="1A365D"/>
            <w:tcMar>
              <w:top w:w="80" w:type="dxa"/>
              <w:bottom w:w="80" w:type="dxa"/>
              <w:left w:w="80" w:type="dxa"/>
              <w:right w:w="80" w:type="dxa"/>
            </w:tcMar>
          </w:tcPr>
          <w:p>
            <w:r>
              <w:rPr>
                <w:rFonts w:ascii="Calibri" w:hAnsi="Calibri"/>
                <w:b/>
                <w:color w:val="FFFFFF"/>
                <w:sz w:val="17"/>
              </w:rPr>
              <w:t>Post-Preprocessing Pipeline Benefit</w:t>
            </w:r>
          </w:p>
        </w:tc>
      </w:tr>
      <w:tr>
        <w:tc>
          <w:tcPr>
            <w:tcW w:type="dxa" w:w="2592"/>
            <w:tcMar>
              <w:top w:w="50" w:type="dxa"/>
              <w:bottom w:w="50" w:type="dxa"/>
              <w:left w:w="70" w:type="dxa"/>
              <w:right w:w="70" w:type="dxa"/>
            </w:tcMar>
          </w:tcPr>
          <w:p>
            <w:pPr>
              <w:spacing w:before="0" w:after="0"/>
            </w:pPr>
            <w:r>
              <w:rPr>
                <w:rFonts w:ascii="Calibri" w:hAnsi="Calibri"/>
                <w:color w:val="2D3748"/>
                <w:sz w:val="16"/>
              </w:rPr>
              <w:t>Transit Duration &amp; ETA Regression (Gradient Boost / Ridge)</w:t>
            </w:r>
          </w:p>
        </w:tc>
        <w:tc>
          <w:tcPr>
            <w:tcW w:type="dxa" w:w="3168"/>
            <w:tcMar>
              <w:top w:w="50" w:type="dxa"/>
              <w:bottom w:w="50" w:type="dxa"/>
              <w:left w:w="70" w:type="dxa"/>
              <w:right w:w="70" w:type="dxa"/>
            </w:tcMar>
          </w:tcPr>
          <w:p>
            <w:pPr>
              <w:spacing w:before="0" w:after="0"/>
            </w:pPr>
            <w:r>
              <w:rPr>
                <w:rFonts w:ascii="Calibri" w:hAnsi="Calibri"/>
                <w:color w:val="2D3748"/>
                <w:sz w:val="16"/>
              </w:rPr>
              <w:t>Chronological inversions create negative transit targets; extreme payload weights cause exploding gradients and inflated RMSE.</w:t>
            </w:r>
          </w:p>
        </w:tc>
        <w:tc>
          <w:tcPr>
            <w:tcW w:type="dxa" w:w="3600"/>
            <w:tcMar>
              <w:top w:w="50" w:type="dxa"/>
              <w:bottom w:w="50" w:type="dxa"/>
              <w:left w:w="70" w:type="dxa"/>
              <w:right w:w="70" w:type="dxa"/>
            </w:tcMar>
          </w:tcPr>
          <w:p>
            <w:pPr>
              <w:spacing w:before="0" w:after="0"/>
            </w:pPr>
            <w:r>
              <w:rPr>
                <w:rFonts w:ascii="Calibri" w:hAnsi="Calibri"/>
                <w:color w:val="2D3748"/>
                <w:sz w:val="16"/>
              </w:rPr>
              <w:t>Winsorization caps extreme tail spikes; log1p normalizes residuals; loss functions converge rapidly to realistic lane transit variances.</w:t>
            </w:r>
          </w:p>
        </w:tc>
      </w:tr>
      <w:tr>
        <w:tc>
          <w:tcPr>
            <w:tcW w:type="dxa" w:w="2592"/>
            <w:tcMar>
              <w:top w:w="50" w:type="dxa"/>
              <w:bottom w:w="50" w:type="dxa"/>
              <w:left w:w="70" w:type="dxa"/>
              <w:right w:w="70" w:type="dxa"/>
            </w:tcMar>
            <w:shd w:fill="F7FAFC"/>
          </w:tcPr>
          <w:p>
            <w:pPr>
              <w:spacing w:before="0" w:after="0"/>
            </w:pPr>
            <w:r>
              <w:rPr>
                <w:rFonts w:ascii="Calibri" w:hAnsi="Calibri"/>
                <w:color w:val="2D3748"/>
                <w:sz w:val="16"/>
              </w:rPr>
              <w:t>Carrier Performance Classification (Random Forest / Logistic)</w:t>
            </w:r>
          </w:p>
        </w:tc>
        <w:tc>
          <w:tcPr>
            <w:tcW w:type="dxa" w:w="3168"/>
            <w:tcMar>
              <w:top w:w="50" w:type="dxa"/>
              <w:bottom w:w="50" w:type="dxa"/>
              <w:left w:w="70" w:type="dxa"/>
              <w:right w:w="70" w:type="dxa"/>
            </w:tcMar>
            <w:shd w:fill="F7FAFC"/>
          </w:tcPr>
          <w:p>
            <w:pPr>
              <w:spacing w:before="0" w:after="0"/>
            </w:pPr>
            <w:r>
              <w:rPr>
                <w:rFonts w:ascii="Calibri" w:hAnsi="Calibri"/>
                <w:color w:val="2D3748"/>
                <w:sz w:val="16"/>
              </w:rPr>
              <w:t>Unstandardized strings ('FedEx', 'fedex', 'FEDEX') cause cardinality explosion, fragmenting tree decision splits and overfitting.</w:t>
            </w:r>
          </w:p>
        </w:tc>
        <w:tc>
          <w:tcPr>
            <w:tcW w:type="dxa" w:w="3600"/>
            <w:tcMar>
              <w:top w:w="50" w:type="dxa"/>
              <w:bottom w:w="50" w:type="dxa"/>
              <w:left w:w="70" w:type="dxa"/>
              <w:right w:w="70" w:type="dxa"/>
            </w:tcMar>
            <w:shd w:fill="F7FAFC"/>
          </w:tcPr>
          <w:p>
            <w:pPr>
              <w:spacing w:before="0" w:after="0"/>
            </w:pPr>
            <w:r>
              <w:rPr>
                <w:rFonts w:ascii="Calibri" w:hAnsi="Calibri"/>
                <w:color w:val="2D3748"/>
                <w:sz w:val="16"/>
              </w:rPr>
              <w:t>Canonical mapping and one-hot encoding with drop='first' eliminate multicollinearity and preserve model degrees of freedom.</w:t>
            </w:r>
          </w:p>
        </w:tc>
      </w:tr>
      <w:tr>
        <w:tc>
          <w:tcPr>
            <w:tcW w:type="dxa" w:w="2592"/>
            <w:tcMar>
              <w:top w:w="50" w:type="dxa"/>
              <w:bottom w:w="50" w:type="dxa"/>
              <w:left w:w="70" w:type="dxa"/>
              <w:right w:w="70" w:type="dxa"/>
            </w:tcMar>
          </w:tcPr>
          <w:p>
            <w:pPr>
              <w:spacing w:before="0" w:after="0"/>
            </w:pPr>
            <w:r>
              <w:rPr>
                <w:rFonts w:ascii="Calibri" w:hAnsi="Calibri"/>
                <w:color w:val="2D3748"/>
                <w:sz w:val="16"/>
              </w:rPr>
              <w:t>Vehicle Route &amp; Territory Clustering (k-Means / DBSCAN)</w:t>
            </w:r>
          </w:p>
        </w:tc>
        <w:tc>
          <w:tcPr>
            <w:tcW w:type="dxa" w:w="3168"/>
            <w:tcMar>
              <w:top w:w="50" w:type="dxa"/>
              <w:bottom w:w="50" w:type="dxa"/>
              <w:left w:w="70" w:type="dxa"/>
              <w:right w:w="70" w:type="dxa"/>
            </w:tcMar>
          </w:tcPr>
          <w:p>
            <w:pPr>
              <w:spacing w:before="0" w:after="0"/>
            </w:pPr>
            <w:r>
              <w:rPr>
                <w:rFonts w:ascii="Calibri" w:hAnsi="Calibri"/>
                <w:color w:val="2D3748"/>
                <w:sz w:val="16"/>
              </w:rPr>
              <w:t>Distance variables in thousands dominate parcel weights in single digits; coordinates on Null Island distort cluster centroids.</w:t>
            </w:r>
          </w:p>
        </w:tc>
        <w:tc>
          <w:tcPr>
            <w:tcW w:type="dxa" w:w="3600"/>
            <w:tcMar>
              <w:top w:w="50" w:type="dxa"/>
              <w:bottom w:w="50" w:type="dxa"/>
              <w:left w:w="70" w:type="dxa"/>
              <w:right w:w="70" w:type="dxa"/>
            </w:tcMar>
          </w:tcPr>
          <w:p>
            <w:pPr>
              <w:spacing w:before="0" w:after="0"/>
            </w:pPr>
            <w:r>
              <w:rPr>
                <w:rFonts w:ascii="Calibri" w:hAnsi="Calibri"/>
                <w:color w:val="2D3748"/>
                <w:sz w:val="16"/>
              </w:rPr>
              <w:t>RobustScaler balances Euclidean contributions across spatial, financial, and physical attributes, grouping viable delivery clusters.</w:t>
            </w:r>
          </w:p>
        </w:tc>
      </w:tr>
    </w:tbl>
    <w:p>
      <w:pPr>
        <w:spacing w:after="120"/>
      </w:pPr>
    </w:p>
    <w:p>
      <w:pPr>
        <w:pStyle w:val="Heading2"/>
        <w:keepNext/>
        <w:spacing w:before="280" w:after="80"/>
      </w:pPr>
      <w:r>
        <w:rPr>
          <w:rFonts w:ascii="Calibri" w:hAnsi="Calibri"/>
          <w:b/>
          <w:color w:val="2B6CB0"/>
          <w:sz w:val="26"/>
        </w:rPr>
        <w:t>6.1 Financial &amp; Operational Business Implications</w:t>
      </w:r>
    </w:p>
    <w:p>
      <w:pPr>
        <w:pStyle w:val="ListBullet"/>
        <w:spacing w:before="40" w:after="40"/>
      </w:pPr>
      <w:r>
        <w:rPr>
          <w:b/>
          <w:color w:val="1A365D"/>
        </w:rPr>
        <w:t xml:space="preserve">SLA Compliance &amp; Chargeback Mitigation: </w:t>
      </w:r>
      <w:r>
        <w:t>Logistics contracts impose chargeback penalties ($50-$250 per shipment) for late deliveries. Chronological inversions caused by device clock drift misclassify compliant deliveries as late, triggering unwarranted financial penalties. Filtering inversions protects contract compliance.</w:t>
      </w:r>
    </w:p>
    <w:p>
      <w:pPr>
        <w:pStyle w:val="ListBullet"/>
        <w:spacing w:before="40" w:after="40"/>
      </w:pPr>
      <w:r>
        <w:rPr>
          <w:b/>
          <w:color w:val="1A365D"/>
        </w:rPr>
        <w:t xml:space="preserve">Fleet Capacity &amp; Cubic Utilization Optimization: </w:t>
      </w:r>
      <w:r>
        <w:t>Freight billing relies on weight-to-volume ratios (Dimensional Weight Pricing). Raw feeds containing zero-weight readings from uncalibrated scales skew load balancing. Correcting these metrics prevents trailer under-utilization and reduces excess fleet fuel consumption.</w:t>
      </w:r>
    </w:p>
    <w:p>
      <w:pPr>
        <w:pStyle w:val="ListBullet"/>
        <w:spacing w:before="40" w:after="40"/>
      </w:pPr>
      <w:r>
        <w:rPr>
          <w:b/>
          <w:color w:val="1A365D"/>
        </w:rPr>
        <w:t xml:space="preserve">Dynamic Spot-Quote Pricing Protection: </w:t>
      </w:r>
      <w:r>
        <w:t>Automated freight pricing engines calculate spot rates based on historical lane velocity and freight density. Unscaled outliers passing into pricing models generate volatile, non-competitive quotes that erode profit margins.</w:t>
      </w:r>
    </w:p>
    <w:p>
      <w:pPr>
        <w:pStyle w:val="Heading1"/>
        <w:keepNext/>
        <w:spacing w:before="360" w:after="120"/>
      </w:pPr>
      <w:r>
        <w:rPr>
          <w:rFonts w:ascii="Calibri" w:hAnsi="Calibri"/>
          <w:b/>
          <w:color w:val="1A365D"/>
          <w:sz w:val="32"/>
        </w:rPr>
        <w:t>7. Executive Submission Summary (Portal Submission)</w:t>
      </w:r>
    </w:p>
    <w:tbl>
      <w:tblPr>
        <w:tblW w:type="auto" w:w="0"/>
        <w:jc w:val="center"/>
        <w:tblLayout w:type="fixed"/>
        <w:tblLook w:firstColumn="1" w:firstRow="1" w:lastColumn="0" w:lastRow="0" w:noHBand="0" w:noVBand="1" w:val="04A0"/>
      </w:tblPr>
      <w:tblGrid>
        <w:gridCol w:w="9360"/>
      </w:tblGrid>
      <w:tr>
        <w:tc>
          <w:tcPr>
            <w:tcW w:type="dxa" w:w="9360"/>
            <w:shd w:fill="EDF2F7"/>
            <w:tcBorders>
              <w:top w:val="none" w:sz="0" w:space="0" w:color="auto"/>
              <w:left w:val="single" w:sz="36" w:space="0" w:color="319795"/>
              <w:bottom w:val="none" w:sz="0" w:space="0" w:color="auto"/>
              <w:right w:val="none" w:sz="0" w:space="0" w:color="auto"/>
            </w:tcBorders>
            <w:tcMar>
              <w:top w:w="140" w:type="dxa"/>
              <w:bottom w:w="140" w:type="dxa"/>
              <w:left w:w="200" w:type="dxa"/>
              <w:right w:w="160" w:type="dxa"/>
            </w:tcMar>
          </w:tcPr>
          <w:p>
            <w:pPr>
              <w:spacing w:before="40" w:after="80"/>
            </w:pPr>
            <w:r>
              <w:rPr>
                <w:rFonts w:ascii="Calibri" w:hAnsi="Calibri"/>
                <w:b/>
                <w:color w:val="1A365D"/>
                <w:sz w:val="22"/>
              </w:rPr>
              <w:t>■ EXECUTIVE PORTAL SUBMISSION SUMMARY (EXACTLY 200 WORDS)</w:t>
              <w:br/>
            </w:r>
            <w:r>
              <w:rPr>
                <w:rFonts w:ascii="Calibri" w:hAnsi="Calibri"/>
                <w:color w:val="2D3748"/>
                <w:sz w:val="20"/>
              </w:rPr>
              <w:t>This comprehensive technical project establishes a production-grade data collection, cleaning, and preprocessing pipeline engineered for multimodal freight telematics and urban last-mile logistics. Benchmarked against canonical supply chain datasets—the Olist Brazilian E-Commerce and DataCo Global Supply Chain repositories—the architecture systematically resolves critical real-world failure modes spanning structural key duplication, sensor calibration drift, chronological timestamp inversions, coordinate transpositions, and severe distributional skew. The pipeline enforces automated primary key deduplication, string and currency sanitization, geospatial polygon bounding, physical feasibility gating, and non-parametric Tukey’s Fences Winsorization. A production Scikit-Learn ColumnTransformer integrates median imputation, cyclical trigonometric temporal encodings (S1 unit circle transformations for 24-hour dispatch cycles), natural logarithmic variance stabilization (log1p), and median-IQR RobustScaler normalizations. Crucially, target leakage is eliminated by categorizing unrecorded delivery timestamps as explicit operational exceptions rather than imputing artificial delivery durations. Across an empirical validation run of 2,000 raw telematics records, the pipeline achieved a 97.90% operational retention yield, stabilized heavy-tail cargo weight skewness from an initial 11.97 down to 1.83, and produced a clean, 31-dimensional feature matrix. This production-ready architecture guarantees numerical stability for downstream ETA regression, carrier classification, route clustering, and fleet optimization while effectively safeguarding enterprise commercial freight operations against costly financial contractual SLA compliance breach chargeback penalties.</w:t>
            </w:r>
          </w:p>
        </w:tc>
      </w:tr>
    </w:tbl>
    <w:p>
      <w:pPr>
        <w:spacing w:before="0" w:after="120"/>
      </w:pP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olor w:val="718096"/>
        <w:sz w:val="17"/>
      </w:rPr>
      <w:t>CONFIDENTIAL - FOR INTERNAL OPERATIONAL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18096"/>
        <w:sz w:val="17"/>
      </w:rPr>
      <w:t>LOG-ENG-PREP-2026-T2-PROD | Enterprise Logistics Analytics Pipeline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