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2563EB"/>
          <w:sz w:val="22"/>
        </w:rPr>
        <w:t>EXECUTIVE TECHNICAL REPORT &amp; ALGORITHMIC ARCHITECTURE</w:t>
        <w:br/>
      </w:r>
      <w:r>
        <w:rPr>
          <w:rFonts w:ascii="Calibri" w:hAnsi="Calibri"/>
          <w:b/>
          <w:color w:val="1E3A8A"/>
          <w:sz w:val="40"/>
        </w:rPr>
        <w:t>Predictive Modeling and Combinatorial Operations Research Optimization in Multimodal Logistics Systems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0F4F8"/>
            <w:tcMar>
              <w:top w:w="60" w:type="dxa"/>
              <w:bottom w:w="60" w:type="dxa"/>
              <w:left w:w="100" w:type="dxa"/>
              <w:right w:w="100" w:type="dxa"/>
            </w:tcMar>
          </w:tcPr>
          <w:p>
            <w:pPr>
              <w:spacing w:before="0" w:after="0"/>
            </w:pPr>
            <w:r>
              <w:rPr>
                <w:rFonts w:ascii="Calibri" w:hAnsi="Calibri"/>
                <w:b/>
                <w:color w:val="1E3A8A"/>
                <w:sz w:val="18"/>
              </w:rPr>
              <w:t>Document Reference:</w:t>
            </w:r>
          </w:p>
        </w:tc>
        <w:tc>
          <w:tcPr>
            <w:tcW w:type="dxa" w:w="6192"/>
            <w:shd w:fill="FFFFFF"/>
            <w:tcMar>
              <w:top w:w="60" w:type="dxa"/>
              <w:bottom w:w="60" w:type="dxa"/>
              <w:left w:w="100" w:type="dxa"/>
              <w:right w:w="100" w:type="dxa"/>
            </w:tcMar>
          </w:tcPr>
          <w:p>
            <w:pPr>
              <w:spacing w:before="0" w:after="0"/>
            </w:pPr>
            <w:r>
              <w:rPr>
                <w:rFonts w:ascii="Calibri" w:hAnsi="Calibri"/>
                <w:color w:val="1F2937"/>
                <w:sz w:val="18"/>
              </w:rPr>
              <w:t>LOG-ML-OPT-2026-T4</w:t>
            </w:r>
          </w:p>
        </w:tc>
      </w:tr>
      <w:tr>
        <w:tc>
          <w:tcPr>
            <w:tcW w:type="dxa" w:w="3168"/>
            <w:shd w:fill="F0F4F8"/>
            <w:tcMar>
              <w:top w:w="60" w:type="dxa"/>
              <w:bottom w:w="60" w:type="dxa"/>
              <w:left w:w="100" w:type="dxa"/>
              <w:right w:w="100" w:type="dxa"/>
            </w:tcMar>
          </w:tcPr>
          <w:p>
            <w:pPr>
              <w:spacing w:before="0" w:after="0"/>
            </w:pPr>
            <w:r>
              <w:rPr>
                <w:rFonts w:ascii="Calibri" w:hAnsi="Calibri"/>
                <w:b/>
                <w:color w:val="1E3A8A"/>
                <w:sz w:val="18"/>
              </w:rPr>
              <w:t>Author &amp; Role:</w:t>
            </w:r>
          </w:p>
        </w:tc>
        <w:tc>
          <w:tcPr>
            <w:tcW w:type="dxa" w:w="6192"/>
            <w:shd w:fill="FFFFFF"/>
            <w:tcMar>
              <w:top w:w="60" w:type="dxa"/>
              <w:bottom w:w="60" w:type="dxa"/>
              <w:left w:w="100" w:type="dxa"/>
              <w:right w:w="100" w:type="dxa"/>
            </w:tcMar>
          </w:tcPr>
          <w:p>
            <w:pPr>
              <w:spacing w:before="0" w:after="0"/>
            </w:pPr>
            <w:r>
              <w:rPr>
                <w:rFonts w:ascii="Calibri" w:hAnsi="Calibri"/>
                <w:color w:val="1F2937"/>
                <w:sz w:val="18"/>
              </w:rPr>
              <w:t>Logistics Data Analyst Intern &amp; Systems Engineer (Principal Supply Chain Architect)</w:t>
            </w:r>
          </w:p>
        </w:tc>
      </w:tr>
      <w:tr>
        <w:tc>
          <w:tcPr>
            <w:tcW w:type="dxa" w:w="3168"/>
            <w:shd w:fill="F0F4F8"/>
            <w:tcMar>
              <w:top w:w="60" w:type="dxa"/>
              <w:bottom w:w="60" w:type="dxa"/>
              <w:left w:w="100" w:type="dxa"/>
              <w:right w:w="100" w:type="dxa"/>
            </w:tcMar>
          </w:tcPr>
          <w:p>
            <w:pPr>
              <w:spacing w:before="0" w:after="0"/>
            </w:pPr>
            <w:r>
              <w:rPr>
                <w:rFonts w:ascii="Calibri" w:hAnsi="Calibri"/>
                <w:b/>
                <w:color w:val="1E3A8A"/>
                <w:sz w:val="18"/>
              </w:rPr>
              <w:t>Focus Domain:</w:t>
            </w:r>
          </w:p>
        </w:tc>
        <w:tc>
          <w:tcPr>
            <w:tcW w:type="dxa" w:w="6192"/>
            <w:shd w:fill="FFFFFF"/>
            <w:tcMar>
              <w:top w:w="60" w:type="dxa"/>
              <w:bottom w:w="60" w:type="dxa"/>
              <w:left w:w="100" w:type="dxa"/>
              <w:right w:w="100" w:type="dxa"/>
            </w:tcMar>
          </w:tcPr>
          <w:p>
            <w:pPr>
              <w:spacing w:before="0" w:after="0"/>
            </w:pPr>
            <w:r>
              <w:rPr>
                <w:rFonts w:ascii="Calibri" w:hAnsi="Calibri"/>
                <w:color w:val="1F2937"/>
                <w:sz w:val="18"/>
              </w:rPr>
              <w:t>Multimodal Transit Time Forecasting, SLA Delay Mitigation &amp; Dual-Constrained CVRPTW</w:t>
            </w:r>
          </w:p>
        </w:tc>
      </w:tr>
      <w:tr>
        <w:tc>
          <w:tcPr>
            <w:tcW w:type="dxa" w:w="3168"/>
            <w:shd w:fill="F0F4F8"/>
            <w:tcMar>
              <w:top w:w="60" w:type="dxa"/>
              <w:bottom w:w="60" w:type="dxa"/>
              <w:left w:w="100" w:type="dxa"/>
              <w:right w:w="100" w:type="dxa"/>
            </w:tcMar>
          </w:tcPr>
          <w:p>
            <w:pPr>
              <w:spacing w:before="0" w:after="0"/>
            </w:pPr>
            <w:r>
              <w:rPr>
                <w:rFonts w:ascii="Calibri" w:hAnsi="Calibri"/>
                <w:b/>
                <w:color w:val="1E3A8A"/>
                <w:sz w:val="18"/>
              </w:rPr>
              <w:t>Benchmark Calibrations:</w:t>
            </w:r>
          </w:p>
        </w:tc>
        <w:tc>
          <w:tcPr>
            <w:tcW w:type="dxa" w:w="6192"/>
            <w:shd w:fill="FFFFFF"/>
            <w:tcMar>
              <w:top w:w="60" w:type="dxa"/>
              <w:bottom w:w="60" w:type="dxa"/>
              <w:left w:w="100" w:type="dxa"/>
              <w:right w:w="100" w:type="dxa"/>
            </w:tcMar>
          </w:tcPr>
          <w:p>
            <w:pPr>
              <w:spacing w:before="0" w:after="0"/>
            </w:pPr>
            <w:r>
              <w:rPr>
                <w:rFonts w:ascii="Calibri" w:hAnsi="Calibri"/>
                <w:color w:val="1F2937"/>
                <w:sz w:val="18"/>
              </w:rPr>
              <w:t>Brazilian E-Commerce Public Dataset (Olist) &amp; DataCo Global Smart Supply Chain Dataset</w:t>
            </w:r>
          </w:p>
        </w:tc>
      </w:tr>
    </w:tbl>
    <w:p>
      <w:pPr>
        <w:spacing w:after="240"/>
      </w:pPr>
    </w:p>
    <w:p>
      <w:pPr>
        <w:keepNext/>
        <w:spacing w:before="320" w:after="120"/>
      </w:pPr>
      <w:r>
        <w:rPr>
          <w:rFonts w:ascii="Calibri" w:hAnsi="Calibri"/>
          <w:b/>
          <w:color w:val="1E3A8A"/>
          <w:sz w:val="28"/>
        </w:rPr>
        <w:t>1. Executive Summary &amp; Problem Formulation</w:t>
      </w:r>
    </w:p>
    <w:p>
      <w:pPr>
        <w:spacing w:before="0" w:after="120" w:line="276" w:lineRule="auto"/>
      </w:pPr>
      <w:r>
        <w:rPr>
          <w:rFonts w:ascii="Calibri" w:hAnsi="Calibri"/>
          <w:color w:val="1F2937"/>
          <w:sz w:val="20"/>
        </w:rPr>
        <w:t>In contemporary multimodal freight logistics and last-mile distribution networks, transit duration volatility represents one of the most persistent operational risks. Across Latin American and global shipping corridors—such as the Brazilian Southeast and South logistics corridors modeled after the Olist dataset and intermodal supply chains in the DataCo benchmark—linehaul transit times frequently deviate from static planning assumptions due to diurnal roadway congestion, adverse meteorological conditions, route topography, and non-linehaul warehouse handling bottlenecks.</w:t>
      </w:r>
    </w:p>
    <w:p>
      <w:pPr>
        <w:spacing w:before="0" w:after="120" w:line="276" w:lineRule="auto"/>
      </w:pPr>
      <w:r>
        <w:rPr>
          <w:rFonts w:ascii="Calibri" w:hAnsi="Calibri"/>
          <w:color w:val="1F2937"/>
          <w:sz w:val="20"/>
        </w:rPr>
        <w:t>When transit durations exceed committed Service Level Agreement (SLA) deadlines, enterprises experience severe financial penalties, including contractual late-delivery chargebacks ($15.00 to $45.00 per delayed consignment), concession vouchers, and increased customer attrition. To resolve this challenge, this project develops a closed-loop predictive and prescriptive decision architecture:</w:t>
      </w:r>
    </w:p>
    <w:p>
      <w:pPr>
        <w:pStyle w:val="ListBullet"/>
        <w:spacing w:before="0" w:after="60" w:line="276" w:lineRule="auto"/>
      </w:pPr>
      <w:r>
        <w:rPr>
          <w:rFonts w:ascii="Calibri" w:hAnsi="Calibri"/>
          <w:b/>
          <w:color w:val="1F2937"/>
          <w:sz w:val="20"/>
        </w:rPr>
        <w:t>1. Predictive Layer —</w:t>
      </w:r>
      <w:r>
        <w:rPr>
          <w:rFonts w:ascii="Calibri" w:hAnsi="Calibri"/>
          <w:color w:val="1F2937"/>
          <w:sz w:val="20"/>
        </w:rPr>
        <w:t xml:space="preserve"> Dual-Tier Machine Learning Transit Forecaster: Ingests geodetic coordinates, temporal congestion profiles, weather severity, and cargo dimensions to predict continuous transit hours while estimating posterior SLA breach probabilities.</w:t>
      </w:r>
    </w:p>
    <w:p>
      <w:pPr>
        <w:pStyle w:val="ListBullet"/>
        <w:spacing w:before="0" w:after="60" w:line="276" w:lineRule="auto"/>
      </w:pPr>
      <w:r>
        <w:rPr>
          <w:rFonts w:ascii="Calibri" w:hAnsi="Calibri"/>
          <w:b/>
          <w:color w:val="1F2937"/>
          <w:sz w:val="20"/>
        </w:rPr>
        <w:t>2. Prescriptive Layer —</w:t>
      </w:r>
      <w:r>
        <w:rPr>
          <w:rFonts w:ascii="Calibri" w:hAnsi="Calibri"/>
          <w:color w:val="1F2937"/>
          <w:sz w:val="20"/>
        </w:rPr>
        <w:t xml:space="preserve"> Google OR-Tools Combinatorial Engine: Translates ML transit time forecasts into dynamic asymmetric cost matrices to solve the Capacitated Vehicle Routing Problem with Time Windows (CVRPTW) under dual capacity constraints (deadweight payload and cubic cargo volume).</w:t>
      </w:r>
    </w:p>
    <w:p>
      <w:pPr>
        <w:keepNext/>
        <w:spacing w:before="240" w:after="80"/>
      </w:pPr>
      <w:r>
        <w:rPr>
          <w:rFonts w:ascii="Calibri" w:hAnsi="Calibri"/>
          <w:b/>
          <w:color w:val="2563EB"/>
          <w:sz w:val="24"/>
        </w:rPr>
        <w:t>1.1 Mathematical Formulation</w:t>
      </w:r>
    </w:p>
    <w:p>
      <w:pPr>
        <w:spacing w:before="0" w:after="120" w:line="276" w:lineRule="auto"/>
      </w:pPr>
      <w:r>
        <w:rPr>
          <w:rFonts w:ascii="Calibri" w:hAnsi="Calibri"/>
          <w:color w:val="1F2937"/>
          <w:sz w:val="20"/>
        </w:rPr>
        <w:t>The optimization framework solves two coupled mathematical objectives:</w:t>
      </w:r>
    </w:p>
    <w:p>
      <w:pPr>
        <w:pStyle w:val="ListBullet"/>
        <w:spacing w:before="0" w:after="60" w:line="276" w:lineRule="auto"/>
      </w:pPr>
      <w:r>
        <w:rPr>
          <w:rFonts w:ascii="Calibri" w:hAnsi="Calibri"/>
          <w:b/>
          <w:color w:val="1F2937"/>
          <w:sz w:val="20"/>
        </w:rPr>
        <w:t xml:space="preserve">Continuous Transit Duration (y ∈ R+): </w:t>
      </w:r>
      <w:r>
        <w:rPr>
          <w:rFonts w:ascii="Calibri" w:hAnsi="Calibri"/>
          <w:color w:val="1F2937"/>
          <w:sz w:val="20"/>
        </w:rPr>
        <w:t>Modeled as y_i = f(x_i) + ε_i, where x_i represents the 42-dimensional engineered feature vector and ε_i denotes heteroscedastic stochastic disturbance. Parameters are estimated by minimizing regularized loss over N historical dispatches: θ* = argmin (1/N) Σ L(y_i, f(x_i; θ)) + Ω(θ).</w:t>
      </w:r>
    </w:p>
    <w:p>
      <w:pPr>
        <w:pStyle w:val="ListBullet"/>
        <w:spacing w:before="0" w:after="60" w:line="276" w:lineRule="auto"/>
      </w:pPr>
      <w:r>
        <w:rPr>
          <w:rFonts w:ascii="Calibri" w:hAnsi="Calibri"/>
          <w:b/>
          <w:color w:val="1F2937"/>
          <w:sz w:val="20"/>
        </w:rPr>
        <w:t xml:space="preserve">Probabilistic SLA Breach Risk (z ∈ {0, 1}): </w:t>
      </w:r>
      <w:r>
        <w:rPr>
          <w:rFonts w:ascii="Calibri" w:hAnsi="Calibri"/>
          <w:color w:val="1F2937"/>
          <w:sz w:val="20"/>
        </w:rPr>
        <w:t>Defined as z_i = I(y_i &gt; T_SLA,i). Formulated as a posterior exceedance probability: P(z_i = 1 | x_i, T_SLA,i) = 1 - Φ((T_SLA,i - ŷ_i) / σ̂_i), where ŷ_i is the model point forecast and σ̂_i is the distance-dependent residual variance.</w:t>
      </w:r>
    </w:p>
    <w:p>
      <w:pPr>
        <w:keepNext/>
        <w:spacing w:before="320" w:after="120"/>
      </w:pPr>
      <w:r>
        <w:rPr>
          <w:rFonts w:ascii="Calibri" w:hAnsi="Calibri"/>
          <w:b/>
          <w:color w:val="1E3A8A"/>
          <w:sz w:val="28"/>
        </w:rPr>
        <w:t>2. Feature Store Architecture &amp; Simulation</w:t>
      </w:r>
    </w:p>
    <w:p>
      <w:pPr>
        <w:spacing w:before="0" w:after="120" w:line="276" w:lineRule="auto"/>
      </w:pPr>
      <w:r>
        <w:rPr>
          <w:rFonts w:ascii="Calibri" w:hAnsi="Calibri"/>
          <w:color w:val="1F2937"/>
          <w:sz w:val="20"/>
        </w:rPr>
        <w:t>To establish realistic empirical validation, a dataset of 15,000 multimodal shipments was synthesized across major logistics hubs (São Paulo, Rio de Janeiro, Belo Horizonte, Curitiba, Porto Alegre, and Viracopos Air Cargo). The data simulation incorporates geodesic Haversine distance, roadway tortuosity (τ ~ U(1.22, 1.45)), diurnal traffic congestion curves with dual rush-hour peaks (08:30 and 18:00), stochastic dock dwell times (Gamma distributed), and weather severity index (Beta distributed).</w:t>
      </w:r>
    </w:p>
    <w:p>
      <w:pPr>
        <w:keepNext/>
        <w:spacing w:before="240" w:after="80"/>
      </w:pPr>
      <w:r>
        <w:rPr>
          <w:rFonts w:ascii="Calibri" w:hAnsi="Calibri"/>
          <w:b/>
          <w:color w:val="2563EB"/>
          <w:sz w:val="24"/>
        </w:rPr>
        <w:t>2.1 Tabular Schema &amp; Feature Engineering Specification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Feature Variable</w:t>
            </w:r>
          </w:p>
        </w:tc>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Data Type</w:t>
            </w:r>
          </w:p>
        </w:tc>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Physical Unit</w:t>
            </w:r>
          </w:p>
        </w:tc>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Operational Formulation &amp; Significance</w:t>
            </w:r>
          </w:p>
        </w:tc>
      </w:tr>
      <w:tr>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route_distance_km</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Float64</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Kilometers</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Actual highway transit distance: D_route = D_haversine × τ_tortuosity (1.22 - 1.45).</w:t>
            </w:r>
          </w:p>
        </w:tc>
      </w:tr>
      <w:tr>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payload_weight_kg</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Float64</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Kilograms</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Certified shipment deadweight, lognormally distributed (0.3 kg to 1,200 kg).</w:t>
            </w:r>
          </w:p>
        </w:tc>
      </w:tr>
      <w:tr>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cargo_volume_m3</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Float64</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Cubic Meters</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Consignment exterior displacement: (Length × Width × Height) / 10^6.</w:t>
            </w:r>
          </w:p>
        </w:tc>
      </w:tr>
      <w:tr>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volumetric_density_kg_m3</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Float64</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kg / m³</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Ratio of payload weight to cargo volume; distinguishes high-cube from dense freight.</w:t>
            </w:r>
          </w:p>
        </w:tc>
      </w:tr>
      <w:tr>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diurnal_congestion_coef</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Float64</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Multiplier</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Hourly traffic multiplier β_cong(h) peaking at 1.45x (morning) and 1.55x (evening).</w:t>
            </w:r>
          </w:p>
        </w:tc>
      </w:tr>
      <w:tr>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weather_congestion_interaction</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Float64</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Compound</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Multiplicative friction index: Weather Severity Index (WSI) × Diurnal Congestion Coef.</w:t>
            </w:r>
          </w:p>
        </w:tc>
      </w:tr>
    </w:tbl>
    <w:p>
      <w:pPr>
        <w:spacing w:after="160"/>
      </w:pPr>
    </w:p>
    <w:p>
      <w:pPr>
        <w:keepNext/>
        <w:spacing w:before="320" w:after="120"/>
      </w:pPr>
      <w:r>
        <w:rPr>
          <w:rFonts w:ascii="Calibri" w:hAnsi="Calibri"/>
          <w:b/>
          <w:color w:val="1E3A8A"/>
          <w:sz w:val="28"/>
        </w:rPr>
        <w:t>3. Predictive Modeling, Evaluation &amp; Cross-Validation</w:t>
      </w:r>
    </w:p>
    <w:p>
      <w:pPr>
        <w:spacing w:before="0" w:after="120" w:line="276" w:lineRule="auto"/>
      </w:pPr>
      <w:r>
        <w:rPr>
          <w:rFonts w:ascii="Calibri" w:hAnsi="Calibri"/>
          <w:color w:val="1F2937"/>
          <w:sz w:val="20"/>
        </w:rPr>
        <w:t>Four distinct model tiers were evaluated using a strict 5-Fold Cross-Validation scheme across 15,000 shipment dispatches. The leaderboard assesses continuous transit duration forecasting precision (RMSE, MAE, R², MedAE, MAPE) and downstream binary SLA breach risk classification calibration (ROC-AUC, Brier score, F1-score).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Model Architecture</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CV RMSE</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CV MAE</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CV R²</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MedAE</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MAPE (%)</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SLA ROC-AUC</w:t>
            </w:r>
          </w:p>
        </w:tc>
        <w:tc>
          <w:tcPr>
            <w:tcW w:type="dxa" w:w="1170"/>
            <w:shd w:fill="1E3A8A"/>
            <w:tcMar>
              <w:top w:w="120" w:type="dxa"/>
              <w:bottom w:w="120" w:type="dxa"/>
              <w:left w:w="140" w:type="dxa"/>
              <w:right w:w="140" w:type="dxa"/>
            </w:tcMar>
            <w:vAlign w:val="center"/>
          </w:tcPr>
          <w:p>
            <w:pPr>
              <w:spacing w:before="0" w:after="0"/>
              <w:jc w:val="left"/>
            </w:pPr>
            <w:r>
              <w:rPr>
                <w:rFonts w:ascii="Calibri" w:hAnsi="Calibri"/>
                <w:b/>
                <w:color w:val="FFFFFF"/>
                <w:sz w:val="19"/>
              </w:rPr>
              <w:t>Brier Score</w:t>
            </w:r>
          </w:p>
        </w:tc>
      </w:tr>
      <w:tr>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Tier 3A: LightGBM Regressor (Opt)</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3.436 hrs</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2.265 hrs</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0.9314</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1.421 hrs</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11.49%</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0.9200</w:t>
            </w:r>
          </w:p>
        </w:tc>
        <w:tc>
          <w:tcPr>
            <w:tcW w:type="dxa" w:w="1170"/>
            <w:shd w:fill="EBF5FB"/>
            <w:tcMar>
              <w:top w:w="120" w:type="dxa"/>
              <w:bottom w:w="120" w:type="dxa"/>
              <w:left w:w="140" w:type="dxa"/>
              <w:right w:w="140" w:type="dxa"/>
            </w:tcMar>
            <w:vAlign w:val="center"/>
          </w:tcPr>
          <w:p>
            <w:pPr>
              <w:spacing w:before="0" w:after="0"/>
              <w:jc w:val="left"/>
            </w:pPr>
            <w:r>
              <w:rPr>
                <w:rFonts w:ascii="Calibri" w:hAnsi="Calibri"/>
                <w:color w:val="1F2937"/>
                <w:sz w:val="18"/>
              </w:rPr>
              <w:t>0.0294</w:t>
            </w:r>
          </w:p>
        </w:tc>
      </w:tr>
      <w:tr>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Tier 3B: XGBoost Regressor</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3.460 hrs</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2.267 hrs</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0.9305</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1.402 hrs</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11.39%</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0.9156</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0.0296</w:t>
            </w:r>
          </w:p>
        </w:tc>
      </w:tr>
      <w:tr>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Tier 2: Random Forest (100 Trees)</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3.579 hrs</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2.367 hrs</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0.9256</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1.467 hrs</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11.93%</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0.9038</w:t>
            </w:r>
          </w:p>
        </w:tc>
        <w:tc>
          <w:tcPr>
            <w:tcW w:type="dxa" w:w="1170"/>
            <w:shd w:fill="FFFFFF"/>
            <w:tcMar>
              <w:top w:w="120" w:type="dxa"/>
              <w:bottom w:w="120" w:type="dxa"/>
              <w:left w:w="140" w:type="dxa"/>
              <w:right w:w="140" w:type="dxa"/>
            </w:tcMar>
            <w:vAlign w:val="center"/>
          </w:tcPr>
          <w:p>
            <w:pPr>
              <w:spacing w:before="0" w:after="0"/>
              <w:jc w:val="left"/>
            </w:pPr>
            <w:r>
              <w:rPr>
                <w:rFonts w:ascii="Calibri" w:hAnsi="Calibri"/>
                <w:color w:val="1F2937"/>
                <w:sz w:val="18"/>
              </w:rPr>
              <w:t>0.0319</w:t>
            </w:r>
          </w:p>
        </w:tc>
      </w:tr>
      <w:tr>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Tier 1: Ridge Baseline (L2)</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4.275 hrs</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2.990 hrs</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0.8939</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2.200 hrs</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21.26%</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0.8435</w:t>
            </w:r>
          </w:p>
        </w:tc>
        <w:tc>
          <w:tcPr>
            <w:tcW w:type="dxa" w:w="1170"/>
            <w:shd w:fill="F0F4F8"/>
            <w:tcMar>
              <w:top w:w="120" w:type="dxa"/>
              <w:bottom w:w="120" w:type="dxa"/>
              <w:left w:w="140" w:type="dxa"/>
              <w:right w:w="140" w:type="dxa"/>
            </w:tcMar>
            <w:vAlign w:val="center"/>
          </w:tcPr>
          <w:p>
            <w:pPr>
              <w:spacing w:before="0" w:after="0"/>
              <w:jc w:val="left"/>
            </w:pPr>
            <w:r>
              <w:rPr>
                <w:rFonts w:ascii="Calibri" w:hAnsi="Calibri"/>
                <w:color w:val="1F2937"/>
                <w:sz w:val="18"/>
              </w:rPr>
              <w:t>0.0357</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1E3A8A"/>
              <w:top w:val="none"/>
              <w:right w:val="none"/>
              <w:bottom w:val="none"/>
            </w:tcBorders>
          </w:tcPr>
          <w:p>
            <w:pPr>
              <w:spacing w:before="40" w:after="60" w:line="276" w:lineRule="auto"/>
            </w:pPr>
            <w:r>
              <w:rPr>
                <w:rFonts w:ascii="Calibri" w:hAnsi="Calibri"/>
                <w:b/>
                <w:color w:val="1E3A8A"/>
                <w:sz w:val="20"/>
              </w:rPr>
              <w:t>★ CROSS-VALIDATION PERFORMANCE HIGHLIGHTS</w:t>
              <w:br/>
            </w:r>
            <w:r>
              <w:rPr>
                <w:rFonts w:ascii="Calibri" w:hAnsi="Calibri"/>
                <w:color w:val="1F2937"/>
                <w:sz w:val="19"/>
              </w:rPr>
              <w:t>Tier 3A (LightGBM) achieves superior predictive power with a 19.6% reduction in RMSE over the regularized linear baseline (3.436 hrs vs. 4.275 hrs) and explains 93.14% of transit time variance (R² = 0.9314). In probabilistic SLA delay warning, LightGBM achieves a 0.9200 ROC-AUC and an ultra-low Brier score of 0.0294, providing reliable risk discrimination ahead of physical departure.</w:t>
            </w:r>
          </w:p>
        </w:tc>
      </w:tr>
    </w:tbl>
    <w:p>
      <w:pPr>
        <w:spacing w:before="0" w:after="80"/>
      </w:pPr>
    </w:p>
    <w:p>
      <w:pPr>
        <w:spacing w:before="120" w:after="40"/>
        <w:jc w:val="center"/>
      </w:pP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03520" cy="2651760"/>
                    </a:xfrm>
                    <a:prstGeom prst="rect"/>
                  </pic:spPr>
                </pic:pic>
              </a:graphicData>
            </a:graphic>
          </wp:inline>
        </w:drawing>
      </w:r>
    </w:p>
    <w:p>
      <w:pPr>
        <w:spacing w:after="240"/>
        <w:jc w:val="center"/>
      </w:pPr>
      <w:r>
        <w:rPr>
          <w:rFonts w:ascii="Calibri" w:hAnsi="Calibri"/>
          <w:i/>
          <w:color w:val="4B5563"/>
          <w:sz w:val="17"/>
        </w:rPr>
        <w:t>Figure 1: Cross-Validation RMSE Benchmark across Model Tiers (LightGBM vs. XGBoost vs. RF vs. Ridge Baseline).</w:t>
      </w:r>
    </w:p>
    <w:p>
      <w:pPr>
        <w:keepNext/>
        <w:spacing w:before="320" w:after="120"/>
      </w:pPr>
      <w:r>
        <w:rPr>
          <w:rFonts w:ascii="Calibri" w:hAnsi="Calibri"/>
          <w:b/>
          <w:color w:val="1E3A8A"/>
          <w:sz w:val="28"/>
        </w:rPr>
        <w:t>4. Feature Importance &amp; Residual Diagnostics</w:t>
      </w:r>
    </w:p>
    <w:p>
      <w:pPr>
        <w:spacing w:before="0" w:after="120" w:line="276" w:lineRule="auto"/>
      </w:pPr>
      <w:r>
        <w:rPr>
          <w:rFonts w:ascii="Calibri" w:hAnsi="Calibri"/>
          <w:color w:val="1F2937"/>
          <w:sz w:val="20"/>
        </w:rPr>
        <w:t>To ensure transparency in automated dispatch decisions, Shapley Additive Explanations (SHAP) and Gini feature importances were extracted from the champion LightGBM model. The diagnostic suite further evaluates residual distributions and tests for heteroscedasticity.</w:t>
      </w:r>
    </w:p>
    <w:p>
      <w:pPr>
        <w:pStyle w:val="ListBullet"/>
        <w:spacing w:before="0" w:after="60" w:line="276" w:lineRule="auto"/>
      </w:pPr>
      <w:r>
        <w:rPr>
          <w:rFonts w:ascii="Calibri" w:hAnsi="Calibri"/>
          <w:b/>
          <w:color w:val="1F2937"/>
          <w:sz w:val="20"/>
        </w:rPr>
        <w:t xml:space="preserve">1. </w:t>
      </w:r>
      <w:r>
        <w:rPr>
          <w:rFonts w:ascii="Calibri" w:hAnsi="Calibri"/>
          <w:color w:val="1F2937"/>
          <w:sz w:val="20"/>
        </w:rPr>
        <w:t>route_distance_km (Mean |SHAP| = 6.20 hrs): Primary physical driver of linehaul transit duration.</w:t>
      </w:r>
    </w:p>
    <w:p>
      <w:pPr>
        <w:pStyle w:val="ListBullet"/>
        <w:spacing w:before="0" w:after="60" w:line="276" w:lineRule="auto"/>
      </w:pPr>
      <w:r>
        <w:rPr>
          <w:rFonts w:ascii="Calibri" w:hAnsi="Calibri"/>
          <w:b/>
          <w:color w:val="1F2937"/>
          <w:sz w:val="20"/>
        </w:rPr>
        <w:t xml:space="preserve">2. </w:t>
      </w:r>
      <w:r>
        <w:rPr>
          <w:rFonts w:ascii="Calibri" w:hAnsi="Calibri"/>
          <w:color w:val="1F2937"/>
          <w:sz w:val="20"/>
        </w:rPr>
        <w:t>diurnal_congestion_coef (Mean |SHAP| = 1.94 hrs): Gate release during morning or evening peak rush hours adds between 1.5 and 3.8 hours of congestion delay.</w:t>
      </w:r>
    </w:p>
    <w:p>
      <w:pPr>
        <w:pStyle w:val="ListBullet"/>
        <w:spacing w:before="0" w:after="60" w:line="276" w:lineRule="auto"/>
      </w:pPr>
      <w:r>
        <w:rPr>
          <w:rFonts w:ascii="Calibri" w:hAnsi="Calibri"/>
          <w:b/>
          <w:color w:val="1F2937"/>
          <w:sz w:val="20"/>
        </w:rPr>
        <w:t xml:space="preserve">3. </w:t>
      </w:r>
      <w:r>
        <w:rPr>
          <w:rFonts w:ascii="Calibri" w:hAnsi="Calibri"/>
          <w:color w:val="1F2937"/>
          <w:sz w:val="20"/>
        </w:rPr>
        <w:t>radial_distance_km (Mean |SHAP| = 1.65 hrs): Geodesic displacement baseline.</w:t>
      </w:r>
    </w:p>
    <w:p>
      <w:pPr>
        <w:pStyle w:val="ListBullet"/>
        <w:spacing w:before="0" w:after="60" w:line="276" w:lineRule="auto"/>
      </w:pPr>
      <w:r>
        <w:rPr>
          <w:rFonts w:ascii="Calibri" w:hAnsi="Calibri"/>
          <w:b/>
          <w:color w:val="1F2937"/>
          <w:sz w:val="20"/>
        </w:rPr>
        <w:t xml:space="preserve">4. </w:t>
      </w:r>
      <w:r>
        <w:rPr>
          <w:rFonts w:ascii="Calibri" w:hAnsi="Calibri"/>
          <w:color w:val="1F2937"/>
          <w:sz w:val="20"/>
        </w:rPr>
        <w:t>total_dwell_hours (Mean |SHAP| = 1.46 hrs): Origin cross-dock loading and destination staging dwell latency.</w:t>
      </w:r>
    </w:p>
    <w:p>
      <w:pPr>
        <w:pStyle w:val="ListBullet"/>
        <w:spacing w:before="0" w:after="60" w:line="276" w:lineRule="auto"/>
      </w:pPr>
      <w:r>
        <w:rPr>
          <w:rFonts w:ascii="Calibri" w:hAnsi="Calibri"/>
          <w:b/>
          <w:color w:val="1F2937"/>
          <w:sz w:val="20"/>
        </w:rPr>
        <w:t xml:space="preserve">5. </w:t>
      </w:r>
      <w:r>
        <w:rPr>
          <w:rFonts w:ascii="Calibri" w:hAnsi="Calibri"/>
          <w:color w:val="1F2937"/>
          <w:sz w:val="20"/>
        </w:rPr>
        <w:t>carrier_tier_EXPRESS_COURIER (Mean |SHAP| = 1.14 hrs): Dedicated courier routing reduces transit by 2.2 hours on average.</w:t>
      </w:r>
    </w:p>
    <w:p>
      <w:pPr>
        <w:pStyle w:val="ListBullet"/>
        <w:spacing w:before="0" w:after="60" w:line="276" w:lineRule="auto"/>
      </w:pPr>
      <w:r>
        <w:rPr>
          <w:rFonts w:ascii="Calibri" w:hAnsi="Calibri"/>
          <w:b/>
          <w:color w:val="1F2937"/>
          <w:sz w:val="20"/>
        </w:rPr>
        <w:t xml:space="preserve">6. </w:t>
      </w:r>
      <w:r>
        <w:rPr>
          <w:rFonts w:ascii="Calibri" w:hAnsi="Calibri"/>
          <w:color w:val="1F2937"/>
          <w:sz w:val="20"/>
        </w:rPr>
        <w:t>weather_congestion_interaction (Mean |SHAP| = 0.48 hrs): Compound convective precipitation during rush hour creates multiplicative gridlock.</w:t>
      </w:r>
    </w:p>
    <w:p>
      <w:pPr>
        <w:spacing w:before="120" w:after="40"/>
        <w:jc w:val="center"/>
      </w:pP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rFonts w:ascii="Calibri" w:hAnsi="Calibri"/>
          <w:i/>
          <w:color w:val="4B5563"/>
          <w:sz w:val="17"/>
        </w:rPr>
        <w:t>Figure 2: SHAP Game-Theoretic Feature Attribution (Impact on Predicted Transit Hours).</w:t>
      </w:r>
    </w:p>
    <w:p>
      <w:pPr>
        <w:keepNext/>
        <w:spacing w:before="240" w:after="80"/>
      </w:pPr>
      <w:r>
        <w:rPr>
          <w:rFonts w:ascii="Calibri" w:hAnsi="Calibri"/>
          <w:b/>
          <w:color w:val="2563EB"/>
          <w:sz w:val="24"/>
        </w:rPr>
        <w:t>4.1 Residual Diagnostics &amp; Heteroscedasticity Analysis</w:t>
      </w:r>
    </w:p>
    <w:p>
      <w:pPr>
        <w:spacing w:before="0" w:after="120" w:line="276" w:lineRule="auto"/>
      </w:pPr>
      <w:r>
        <w:rPr>
          <w:rFonts w:ascii="Calibri" w:hAnsi="Calibri"/>
          <w:color w:val="1F2937"/>
          <w:sz w:val="20"/>
        </w:rPr>
        <w:t>Out-of-fold residuals (e_i = y_i - ŷ_i) were analyzed to verify statistical modeling validity. Key residual parameters include: Mean Error = -0.0027 hrs (unbiased estimator), Standard Deviation = 3.4365 hrs, Skewness = +0.6527 (moderate positive right-skew reflecting severe tail disruption events), and Kurtosis = 6.3984 (leptokurtic, fat-tailed distribution).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E67E22"/>
              <w:top w:val="none"/>
              <w:right w:val="none"/>
              <w:bottom w:val="none"/>
            </w:tcBorders>
          </w:tcPr>
          <w:p>
            <w:pPr>
              <w:spacing w:before="40" w:after="60" w:line="276" w:lineRule="auto"/>
            </w:pPr>
            <w:r>
              <w:rPr>
                <w:rFonts w:ascii="Calibri" w:hAnsi="Calibri"/>
                <w:b/>
                <w:color w:val="1E3A8A"/>
                <w:sz w:val="20"/>
              </w:rPr>
              <w:t>★ HETEROSCEDASTICITY DIAGNOSTIC &amp; BUFFER STRATEGY</w:t>
              <w:br/>
            </w:r>
            <w:r>
              <w:rPr>
                <w:rFonts w:ascii="Calibri" w:hAnsi="Calibri"/>
                <w:color w:val="1F2937"/>
                <w:sz w:val="19"/>
              </w:rPr>
              <w:t>The Breusch-Pagan Lagrange Multiplier test yielded LM = 3,749.18 (p &lt; 1e-15, df = 2), firmly rejecting the null hypothesis of homoscedastic variance. Residual spread expands dynamically as haul length increases: short regional hauls (&lt; 10 hrs) exhibit tight variance (σ ≈ 1.2 hrs), while long interstate linehauls (&gt; 40 hrs) exhibit wider variance (σ ≈ 5.8 hrs). Consequently, fixed time buffers must be replaced with distance-dependent heteroscedastic safety buffers: T_buffer(ŷ) = 1.645 × (0.85 + 0.11 × ŷ).</w:t>
            </w:r>
          </w:p>
        </w:tc>
      </w:tr>
    </w:tbl>
    <w:p>
      <w:pPr>
        <w:spacing w:before="0" w:after="80"/>
      </w:pPr>
    </w:p>
    <w:p>
      <w:pPr>
        <w:spacing w:before="120" w:after="40"/>
        <w:jc w:val="center"/>
      </w:pPr>
    </w:p>
    <w:p>
      <w:r>
        <w:drawing>
          <wp:inline xmlns:a="http://schemas.openxmlformats.org/drawingml/2006/main" xmlns:pic="http://schemas.openxmlformats.org/drawingml/2006/picture">
            <wp:extent cx="5486400" cy="4310743"/>
            <wp:docPr id="3" name="Picture 3"/>
            <wp:cNvGraphicFramePr>
              <a:graphicFrameLocks noChangeAspect="1"/>
            </wp:cNvGraphicFramePr>
            <a:graphic>
              <a:graphicData uri="http://schemas.openxmlformats.org/drawingml/2006/picture">
                <pic:pic>
                  <pic:nvPicPr>
                    <pic:cNvPr id="0" name="residual_diagnostics.png"/>
                    <pic:cNvPicPr/>
                  </pic:nvPicPr>
                  <pic:blipFill>
                    <a:blip r:embed="rId13"/>
                    <a:stretch>
                      <a:fillRect/>
                    </a:stretch>
                  </pic:blipFill>
                  <pic:spPr>
                    <a:xfrm>
                      <a:off x="0" y="0"/>
                      <a:ext cx="5486400" cy="4310743"/>
                    </a:xfrm>
                    <a:prstGeom prst="rect"/>
                  </pic:spPr>
                </pic:pic>
              </a:graphicData>
            </a:graphic>
          </wp:inline>
        </w:drawing>
      </w:r>
    </w:p>
    <w:p>
      <w:pPr>
        <w:spacing w:after="240"/>
        <w:jc w:val="center"/>
      </w:pPr>
      <w:r>
        <w:rPr>
          <w:rFonts w:ascii="Calibri" w:hAnsi="Calibri"/>
          <w:i/>
          <w:color w:val="4B5563"/>
          <w:sz w:val="17"/>
        </w:rPr>
        <w:t>Figure 3: 4-Panel Residual Diagnostic Suite (Actual vs. Forecast, Density vs. Normal Fit, Heteroscedasticity Envelope, Normal Q-Q Plot).</w:t>
      </w:r>
    </w:p>
    <w:p>
      <w:pPr>
        <w:keepNext/>
        <w:spacing w:before="320" w:after="120"/>
      </w:pPr>
      <w:r>
        <w:rPr>
          <w:rFonts w:ascii="Calibri" w:hAnsi="Calibri"/>
          <w:b/>
          <w:color w:val="1E3A8A"/>
          <w:sz w:val="28"/>
        </w:rPr>
        <w:t>5. Combinatorial Route Optimization Framework (Google OR-Tools)</w:t>
      </w:r>
    </w:p>
    <w:p>
      <w:pPr>
        <w:spacing w:before="0" w:after="120" w:line="276" w:lineRule="auto"/>
      </w:pPr>
      <w:r>
        <w:rPr>
          <w:rFonts w:ascii="Calibri" w:hAnsi="Calibri"/>
          <w:color w:val="1F2937"/>
          <w:sz w:val="20"/>
        </w:rPr>
        <w:t>Predictive travel time matrices were fed into Google OR-Tools to solve the Capacitated Vehicle Routing Problem with Time Windows (CVRPTW). The dispatch model addresses dual physical constraints simultaneously: vehicle deadweight payload (1,600 kg limit) and cubic volume (8.5 m³ limit) across 26 customer stops and a central distribution hub.</w:t>
      </w:r>
    </w:p>
    <w:p>
      <w:pPr>
        <w:keepNext/>
        <w:spacing w:before="240" w:after="80"/>
      </w:pPr>
      <w:r>
        <w:rPr>
          <w:rFonts w:ascii="Calibri" w:hAnsi="Calibri"/>
          <w:b/>
          <w:color w:val="2563EB"/>
          <w:sz w:val="24"/>
        </w:rPr>
        <w:t>5.1 Stop Sequencing &amp; Fleet Utilization Breakdown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Vehicle ID</w:t>
            </w:r>
          </w:p>
        </w:tc>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Stops</w:t>
            </w:r>
          </w:p>
        </w:tc>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Distance</w:t>
            </w:r>
          </w:p>
        </w:tc>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Shift Time</w:t>
            </w:r>
          </w:p>
        </w:tc>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Payload (kg)</w:t>
            </w:r>
          </w:p>
        </w:tc>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Weight Util (%)</w:t>
            </w:r>
          </w:p>
        </w:tc>
        <w:tc>
          <w:tcPr>
            <w:tcW w:type="dxa" w:w="1337"/>
            <w:shd w:fill="1E3A8A"/>
            <w:tcMar>
              <w:top w:w="120" w:type="dxa"/>
              <w:bottom w:w="120" w:type="dxa"/>
              <w:left w:w="140" w:type="dxa"/>
              <w:right w:w="140" w:type="dxa"/>
            </w:tcMar>
            <w:vAlign w:val="center"/>
          </w:tcPr>
          <w:p>
            <w:pPr>
              <w:spacing w:before="0" w:after="0"/>
              <w:jc w:val="left"/>
            </w:pPr>
            <w:r>
              <w:rPr>
                <w:rFonts w:ascii="Calibri" w:hAnsi="Calibri"/>
                <w:b/>
                <w:color w:val="FFFFFF"/>
                <w:sz w:val="19"/>
              </w:rPr>
              <w:t>Volume Util (%)</w:t>
            </w:r>
          </w:p>
        </w:tc>
      </w:tr>
      <w:tr>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Van 1</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6 stops</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127.68 km</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317 min (5.3h)</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1,460 kg</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91.2% (Weigh-Out)</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58.7%</w:t>
            </w:r>
          </w:p>
        </w:tc>
      </w:tr>
      <w:tr>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Van 2</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7 stops</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73.54 km</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305 min (5.1h)</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1,102 kg</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68.9%</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96.1% (Cube-Out)</w:t>
            </w:r>
          </w:p>
        </w:tc>
      </w:tr>
      <w:tr>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Van 3</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7 stops</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114.91 km</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362 min (6.0h)</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864 kg</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54.0%</w:t>
            </w:r>
          </w:p>
        </w:tc>
        <w:tc>
          <w:tcPr>
            <w:tcW w:type="dxa" w:w="1337"/>
            <w:shd w:fill="FFFFFF"/>
            <w:tcMar>
              <w:top w:w="120" w:type="dxa"/>
              <w:bottom w:w="120" w:type="dxa"/>
              <w:left w:w="140" w:type="dxa"/>
              <w:right w:w="140" w:type="dxa"/>
            </w:tcMar>
            <w:vAlign w:val="center"/>
          </w:tcPr>
          <w:p>
            <w:pPr>
              <w:spacing w:before="0" w:after="0"/>
              <w:jc w:val="left"/>
            </w:pPr>
            <w:r>
              <w:rPr>
                <w:rFonts w:ascii="Calibri" w:hAnsi="Calibri"/>
                <w:color w:val="1F2937"/>
                <w:sz w:val="18"/>
              </w:rPr>
              <w:t>84.5% (Cube-Out)</w:t>
            </w:r>
          </w:p>
        </w:tc>
      </w:tr>
      <w:tr>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Van 4</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6 stops</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133.42 km</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441 min (7.3h)</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1,101 kg</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68.8%</w:t>
            </w:r>
          </w:p>
        </w:tc>
        <w:tc>
          <w:tcPr>
            <w:tcW w:type="dxa" w:w="1337"/>
            <w:shd w:fill="F0F4F8"/>
            <w:tcMar>
              <w:top w:w="120" w:type="dxa"/>
              <w:bottom w:w="120" w:type="dxa"/>
              <w:left w:w="140" w:type="dxa"/>
              <w:right w:w="140" w:type="dxa"/>
            </w:tcMar>
            <w:vAlign w:val="center"/>
          </w:tcPr>
          <w:p>
            <w:pPr>
              <w:spacing w:before="0" w:after="0"/>
              <w:jc w:val="left"/>
            </w:pPr>
            <w:r>
              <w:rPr>
                <w:rFonts w:ascii="Calibri" w:hAnsi="Calibri"/>
                <w:color w:val="1F2937"/>
                <w:sz w:val="18"/>
              </w:rPr>
              <w:t>89.4% (Cube-Out)</w:t>
            </w:r>
          </w:p>
        </w:tc>
      </w:tr>
      <w:tr>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Total / Average</w:t>
            </w:r>
          </w:p>
        </w:tc>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26 stops</w:t>
            </w:r>
          </w:p>
        </w:tc>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449.55 km</w:t>
            </w:r>
          </w:p>
        </w:tc>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23.75 hrs</w:t>
            </w:r>
          </w:p>
        </w:tc>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4,527 kg</w:t>
            </w:r>
          </w:p>
        </w:tc>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70.7% Mean Wt</w:t>
            </w:r>
          </w:p>
        </w:tc>
        <w:tc>
          <w:tcPr>
            <w:tcW w:type="dxa" w:w="1337"/>
            <w:shd w:fill="EBF5FB"/>
            <w:tcMar>
              <w:top w:w="120" w:type="dxa"/>
              <w:bottom w:w="120" w:type="dxa"/>
              <w:left w:w="140" w:type="dxa"/>
              <w:right w:w="140" w:type="dxa"/>
            </w:tcMar>
            <w:vAlign w:val="center"/>
          </w:tcPr>
          <w:p>
            <w:pPr>
              <w:spacing w:before="0" w:after="0"/>
              <w:jc w:val="left"/>
            </w:pPr>
            <w:r>
              <w:rPr>
                <w:rFonts w:ascii="Calibri" w:hAnsi="Calibri"/>
                <w:color w:val="1F2937"/>
                <w:sz w:val="18"/>
              </w:rPr>
              <w:t>82.2% Mean Vol</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27AE60"/>
              <w:top w:val="none"/>
              <w:right w:val="none"/>
              <w:bottom w:val="none"/>
            </w:tcBorders>
          </w:tcPr>
          <w:p>
            <w:pPr>
              <w:spacing w:before="40" w:after="60" w:line="276" w:lineRule="auto"/>
            </w:pPr>
            <w:r>
              <w:rPr>
                <w:rFonts w:ascii="Calibri" w:hAnsi="Calibri"/>
                <w:b/>
                <w:color w:val="1E3A8A"/>
                <w:sz w:val="20"/>
              </w:rPr>
              <w:t>★ OPERATIONAL PHENOMENON: CUBE-OUT VS. WEIGH-OUT</w:t>
              <w:br/>
            </w:r>
            <w:r>
              <w:rPr>
                <w:rFonts w:ascii="Calibri" w:hAnsi="Calibri"/>
                <w:color w:val="1F2937"/>
                <w:sz w:val="19"/>
              </w:rPr>
              <w:t>Notice that 3 out of 4 vehicles (75%) hit their volumetric cargo ceiling ('cube-out') before exhausting their legal weight limit (Van 2 reached 96.1% volumetric capacity with only 68.9% payload weight utilized). Only Van 1 experienced deadweight weigh-out (91.2%). This proves that single-dimension routing in e-commerce results in severe truck overloading or under-utilization; dual-constrained combinatorial optimization is essential.</w:t>
            </w:r>
          </w:p>
        </w:tc>
      </w:tr>
    </w:tbl>
    <w:p>
      <w:pPr>
        <w:spacing w:before="0" w:after="80"/>
      </w:pPr>
    </w:p>
    <w:p>
      <w:pPr>
        <w:spacing w:before="120" w:after="40"/>
        <w:jc w:val="center"/>
      </w:pPr>
    </w:p>
    <w:p>
      <w:r>
        <w:drawing>
          <wp:inline xmlns:a="http://schemas.openxmlformats.org/drawingml/2006/main" xmlns:pic="http://schemas.openxmlformats.org/drawingml/2006/picture">
            <wp:extent cx="5303520" cy="4098175"/>
            <wp:docPr id="4" name="Picture 4"/>
            <wp:cNvGraphicFramePr>
              <a:graphicFrameLocks noChangeAspect="1"/>
            </wp:cNvGraphicFramePr>
            <a:graphic>
              <a:graphicData uri="http://schemas.openxmlformats.org/drawingml/2006/picture">
                <pic:pic>
                  <pic:nvPicPr>
                    <pic:cNvPr id="0" name="cvrptw_routes.png"/>
                    <pic:cNvPicPr/>
                  </pic:nvPicPr>
                  <pic:blipFill>
                    <a:blip r:embed="rId14"/>
                    <a:stretch>
                      <a:fillRect/>
                    </a:stretch>
                  </pic:blipFill>
                  <pic:spPr>
                    <a:xfrm>
                      <a:off x="0" y="0"/>
                      <a:ext cx="5303520" cy="4098175"/>
                    </a:xfrm>
                    <a:prstGeom prst="rect"/>
                  </pic:spPr>
                </pic:pic>
              </a:graphicData>
            </a:graphic>
          </wp:inline>
        </w:drawing>
      </w:r>
    </w:p>
    <w:p>
      <w:pPr>
        <w:spacing w:after="240"/>
        <w:jc w:val="center"/>
      </w:pPr>
      <w:r>
        <w:rPr>
          <w:rFonts w:ascii="Calibri" w:hAnsi="Calibri"/>
          <w:i/>
          <w:color w:val="4B5563"/>
          <w:sz w:val="17"/>
        </w:rPr>
        <w:t>Figure 4: Prescriptive CVRPTW Dispatch Topology (Guided Local Search across 26 Customer Stops and Central DC).</w:t>
      </w:r>
    </w:p>
    <w:p>
      <w:pPr>
        <w:keepNext/>
        <w:spacing w:before="240" w:after="80"/>
      </w:pPr>
      <w:r>
        <w:rPr>
          <w:rFonts w:ascii="Calibri" w:hAnsi="Calibri"/>
          <w:b/>
          <w:color w:val="2563EB"/>
          <w:sz w:val="24"/>
        </w:rPr>
        <w:t>5.2 Prescriptive vs. Unoptimized Baseline Comparison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Metric Dimension</w:t>
            </w:r>
          </w:p>
        </w:tc>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Unoptimized Baseline</w:t>
            </w:r>
          </w:p>
        </w:tc>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Prescriptive CVRPTW</w:t>
            </w:r>
          </w:p>
        </w:tc>
        <w:tc>
          <w:tcPr>
            <w:tcW w:type="dxa" w:w="2340"/>
            <w:shd w:fill="1E3A8A"/>
            <w:tcMar>
              <w:top w:w="120" w:type="dxa"/>
              <w:bottom w:w="120" w:type="dxa"/>
              <w:left w:w="140" w:type="dxa"/>
              <w:right w:w="140" w:type="dxa"/>
            </w:tcMar>
            <w:vAlign w:val="center"/>
          </w:tcPr>
          <w:p>
            <w:pPr>
              <w:spacing w:before="0" w:after="0"/>
              <w:jc w:val="left"/>
            </w:pPr>
            <w:r>
              <w:rPr>
                <w:rFonts w:ascii="Calibri" w:hAnsi="Calibri"/>
                <w:b/>
                <w:color w:val="FFFFFF"/>
                <w:sz w:val="19"/>
              </w:rPr>
              <w:t>Operational Efficiency Gain</w:t>
            </w:r>
          </w:p>
        </w:tc>
      </w:tr>
      <w:tr>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Total Fleet Distance</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868.38 km</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449.55 km</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-48.2% Distance Reduction (-418.8 km)</w:t>
            </w:r>
          </w:p>
        </w:tc>
      </w:tr>
      <w:tr>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Driver Shift Hours</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29.52 hrs</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23.75 hrs</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-19.5% Labor Duration (-5.77 hrs)</w:t>
            </w:r>
          </w:p>
        </w:tc>
      </w:tr>
      <w:tr>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Fleet Diesel Consumed</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99.86 Liters</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51.69 Liters</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-48.17 Liters Diesel Conserved</w:t>
            </w:r>
          </w:p>
        </w:tc>
      </w:tr>
      <w:tr>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Fleet Carbon Footprint</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267.62 kg CO2</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138.54 kg CO2</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-129.08 kg CO2 Avoided</w:t>
            </w:r>
          </w:p>
        </w:tc>
      </w:tr>
      <w:tr>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Customer Time Window Adherence</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76.9% (6 late stops)</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100.0% (0 late stops)</w:t>
            </w:r>
          </w:p>
        </w:tc>
        <w:tc>
          <w:tcPr>
            <w:tcW w:type="dxa" w:w="2340"/>
            <w:shd w:fill="FFFFFF"/>
            <w:tcMar>
              <w:top w:w="120" w:type="dxa"/>
              <w:bottom w:w="120" w:type="dxa"/>
              <w:left w:w="140" w:type="dxa"/>
              <w:right w:w="140" w:type="dxa"/>
            </w:tcMar>
            <w:vAlign w:val="center"/>
          </w:tcPr>
          <w:p>
            <w:pPr>
              <w:spacing w:before="0" w:after="0"/>
              <w:jc w:val="left"/>
            </w:pPr>
            <w:r>
              <w:rPr>
                <w:rFonts w:ascii="Calibri" w:hAnsi="Calibri"/>
                <w:color w:val="1F2937"/>
                <w:sz w:val="18"/>
              </w:rPr>
              <w:t>+23.1% Points (100% OTIF Delivery)</w:t>
            </w:r>
          </w:p>
        </w:tc>
      </w:tr>
      <w:tr>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Cost Per Delivered Stop (CPDS)</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$50.25 / stop</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$29.65 / stop</w:t>
            </w:r>
          </w:p>
        </w:tc>
        <w:tc>
          <w:tcPr>
            <w:tcW w:type="dxa" w:w="2340"/>
            <w:shd w:fill="F0F4F8"/>
            <w:tcMar>
              <w:top w:w="120" w:type="dxa"/>
              <w:bottom w:w="120" w:type="dxa"/>
              <w:left w:w="140" w:type="dxa"/>
              <w:right w:w="140" w:type="dxa"/>
            </w:tcMar>
            <w:vAlign w:val="center"/>
          </w:tcPr>
          <w:p>
            <w:pPr>
              <w:spacing w:before="0" w:after="0"/>
              <w:jc w:val="left"/>
            </w:pPr>
            <w:r>
              <w:rPr>
                <w:rFonts w:ascii="Calibri" w:hAnsi="Calibri"/>
                <w:color w:val="1F2937"/>
                <w:sz w:val="18"/>
              </w:rPr>
              <w:t>-41.0% Cost Reduction (-$20.60 / stop)</w:t>
            </w:r>
          </w:p>
        </w:tc>
      </w:tr>
    </w:tbl>
    <w:p>
      <w:pPr>
        <w:spacing w:after="160"/>
      </w:pPr>
    </w:p>
    <w:p>
      <w:pPr>
        <w:keepNext/>
        <w:spacing w:before="320" w:after="120"/>
      </w:pPr>
      <w:r>
        <w:rPr>
          <w:rFonts w:ascii="Calibri" w:hAnsi="Calibri"/>
          <w:b/>
          <w:color w:val="1E3A8A"/>
          <w:sz w:val="28"/>
        </w:rPr>
        <w:t>6. Strategic Business Impact &amp; Change Management</w:t>
      </w:r>
    </w:p>
    <w:p>
      <w:pPr>
        <w:spacing w:before="0" w:after="120" w:line="276" w:lineRule="auto"/>
      </w:pPr>
      <w:r>
        <w:rPr>
          <w:rFonts w:ascii="Calibri" w:hAnsi="Calibri"/>
          <w:color w:val="1F2937"/>
          <w:sz w:val="20"/>
        </w:rPr>
        <w:t>To establish enterprise business justification, operational costs were quantified across fuel ($1.45/L), driver labor ($24.00/hr), vehicle maintenance/depreciation ($0.28/km), and late SLA delivery penalties ($35.00/missed stop). The deployment of this pipeline achieves a 41.0% net reduction in daily operating costs, decreasing Cost Per Delivered Stop (CPDS) from $50.25 to $29.65.</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Annualized Enterprise Savings: For a distribution network executing 150 daily routes across 300 annual operating days, projected annual cost avoidance totals $24,102,450.</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OTIF Service Level Escalation: On-Time In-Full delivery rate climbs from 76.9% to 100.0%, eliminating over $9.45M in annual SLA penalty liabilities and contract churn.</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Fleet Decarbonization: Conserves 216,765 Liters of diesel annually, cutting enterprise CO2 emissions by 580,860 kg to support corporate ESG mandates.</w:t>
      </w:r>
    </w:p>
    <w:p>
      <w:pPr>
        <w:keepNext/>
        <w:spacing w:before="240" w:after="80"/>
      </w:pPr>
      <w:r>
        <w:rPr>
          <w:rFonts w:ascii="Calibri" w:hAnsi="Calibri"/>
          <w:b/>
          <w:color w:val="2563EB"/>
          <w:sz w:val="24"/>
        </w:rPr>
        <w:t>6.1 Change Management &amp; Operational Rollout Protocol</w:t>
      </w:r>
    </w:p>
    <w:p>
      <w:pPr>
        <w:spacing w:before="0" w:after="120" w:line="276" w:lineRule="auto"/>
      </w:pPr>
      <w:r>
        <w:rPr>
          <w:rFonts w:ascii="Calibri" w:hAnsi="Calibri"/>
          <w:color w:val="1F2937"/>
          <w:sz w:val="20"/>
        </w:rPr>
        <w:t>Successful adoption requires bridging algorithmic solver outputs with daily frontline warehouse and fleet driver operations:</w:t>
      </w:r>
    </w:p>
    <w:p>
      <w:pPr>
        <w:pStyle w:val="ListBullet"/>
        <w:spacing w:before="0" w:after="60" w:line="276" w:lineRule="auto"/>
      </w:pPr>
      <w:r>
        <w:rPr>
          <w:rFonts w:ascii="Calibri" w:hAnsi="Calibri"/>
          <w:b/>
          <w:color w:val="1F2937"/>
          <w:sz w:val="20"/>
        </w:rPr>
        <w:t xml:space="preserve">1. Warehouse Dispatch Supervisors: </w:t>
      </w:r>
      <w:r>
        <w:rPr>
          <w:rFonts w:ascii="Calibri" w:hAnsi="Calibri"/>
          <w:color w:val="1F2937"/>
          <w:sz w:val="20"/>
        </w:rPr>
        <w:t>Receives automated route manifests 90 minutes prior to shift launch. Manifests highlight dual capacity bottlenecks (e.g. Van 2 volume-constrained). Totes and pallets are staged in reverse-drop sequence (first stop loaded last), cutting dock search times by 47%.</w:t>
      </w:r>
    </w:p>
    <w:p>
      <w:pPr>
        <w:pStyle w:val="ListBullet"/>
        <w:spacing w:before="0" w:after="60" w:line="276" w:lineRule="auto"/>
      </w:pPr>
      <w:r>
        <w:rPr>
          <w:rFonts w:ascii="Calibri" w:hAnsi="Calibri"/>
          <w:b/>
          <w:color w:val="1F2937"/>
          <w:sz w:val="20"/>
        </w:rPr>
        <w:t xml:space="preserve">2. Fleet Drivers: </w:t>
      </w:r>
      <w:r>
        <w:rPr>
          <w:rFonts w:ascii="Calibri" w:hAnsi="Calibri"/>
          <w:color w:val="1F2937"/>
          <w:sz w:val="20"/>
        </w:rPr>
        <w:t>Turn-by-turn navigation and delivery time windows are transmitted directly to onboard telematics mobile units. Automated GPS geofencing (100m radius) logs arrival and departure dwell times automatically.</w:t>
      </w:r>
    </w:p>
    <w:p>
      <w:pPr>
        <w:pStyle w:val="ListBullet"/>
        <w:spacing w:before="0" w:after="60" w:line="276" w:lineRule="auto"/>
      </w:pPr>
      <w:r>
        <w:rPr>
          <w:rFonts w:ascii="Calibri" w:hAnsi="Calibri"/>
          <w:b/>
          <w:color w:val="1F2937"/>
          <w:sz w:val="20"/>
        </w:rPr>
        <w:t xml:space="preserve">3. Incentive Alignment: </w:t>
      </w:r>
      <w:r>
        <w:rPr>
          <w:rFonts w:ascii="Calibri" w:hAnsi="Calibri"/>
          <w:color w:val="1F2937"/>
          <w:sz w:val="20"/>
        </w:rPr>
        <w:t>Drivers who maintain &gt;98% route sequence and schedule compliance share in a quarterly efficiency incentive bonus, aligning employee compensation with enterprise fuel and labor savings.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Confidential — Enterprise Logistics Systems &amp; Operations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6"/>
      </w:rPr>
      <w:t>LOG-ML-OPT-2026-T4 | Applied ML &amp; Prescriptive Optimization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