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Reading list: force distribution in arm muscles under external 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Project: Biomechanics Study of the Human Arm (DRDO, ATRC). Four papers checked against online records; paper 2 confirmed from Holzbaur et al.'s reference list. Confirm each against the full text before citing.</w:t>
      </w:r>
    </w:p>
    <w:p>
      <w:pPr>
        <w:pStyle w:val="Heading2"/>
      </w:pPr>
      <w:r>
        <w:rPr>
          <w:rFonts w:ascii="Arial" w:cs="Arial" w:eastAsia="Arial" w:hAnsi="Arial"/>
        </w:rPr>
        <w:t xml:space="preserve">Core papers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600"/>
        <w:gridCol w:w="2260"/>
        <w:gridCol w:w="1860"/>
      </w:tblGrid>
      <w:tr>
        <w:trPr>
          <w:tblHeader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for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Holzbaur, K. R. S., Murray, W. M., &amp; Delp, S. L. (2005). A model of the upper extremity for simulating musculoskeletal surgery and analyzing neuromuscular control. Annals of Biomedical Engineering, 33(6), 829–840.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Model: base upper-limb model, muscle parameters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first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Murray, W. M., Buchanan, T. S., &amp; Delp, S. L. (2000). The isometric functional capacity of muscles that cross the elbow. Journal of Biomechanics, 33(8), 943–952.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Validation: muscle torque/force contributions at elbow angles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third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Saul, K. R., Hu, X., Goehler, C. M., Vidt, M. E., Daly, M., Velisar, A., &amp; Murray, W. M. (2015). Benchmarking of dynamic simulation predictions in two software platforms using an upper limb musculoskeletal model. Computer Methods in Biomechanics and Biomedical Engineering, 18(13), 1445–1458.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and limitations: MoBL-ARMS, platform differences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second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Delp, S. L., Anderson, F. C., Arnold, A. S., Loan, P., Habib, A., John, C. T., Guendelman, E., &amp; Thelen, D. G. (2007). OpenSim: open-source software to create and analyze dynamic simulations of movement. IEEE Transactions on Biomedical Engineering, 54(11), 1940–1950.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Method: OpenSim tools, static optimization background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Skim last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</w:rPr>
        <w:t xml:space="preserve">To verify before citing (not checked)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600"/>
        <w:gridCol w:w="2260"/>
        <w:gridCol w:w="1860"/>
      </w:tblGrid>
      <w:tr>
        <w:trPr>
          <w:tblHeader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for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Crowninshield, R. D., &amp; Brand, R. A. (1981). A physiologically based criterion of muscle force prediction in locomotion. Journal of Biomechanics, 14(11), 793–801.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Method: cost functions for muscle force sharing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details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Erdemir, A., et al. (2007). Model-based estimation of muscle forces exerted during movements. Clinical Biomechanics, 22(2), 131–154.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Method: review of force estimation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details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</w:rPr>
        <w:t xml:space="preserve">Already in the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Murray, Delp &amp; Buchanan (1995), position-dependent moment arms (report reference 3): use for moment-arm 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2026-10-29T19:07:45.437Z</dcterms:created>
  <dcterms:modified xsi:type="dcterms:W3CDTF">2026-10-29T19:07:45.437Z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