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20" w:after="120"/>
      </w:pPr>
      <w:r>
        <w:rPr>
          <w:rFonts w:ascii="Aptos" w:hAnsi="Aptos"/>
          <w:b/>
          <w:color w:val="0F9D91"/>
          <w:sz w:val="30"/>
        </w:rPr>
        <w:t>CASCADE ’26</w:t>
      </w:r>
    </w:p>
    <w:p>
      <w:pPr>
        <w:spacing w:after="120" w:line="228" w:lineRule="auto"/>
      </w:pPr>
      <w:r>
        <w:rPr>
          <w:rFonts w:ascii="Aptos Display" w:hAnsi="Aptos Display"/>
          <w:b/>
          <w:color w:val="142338"/>
          <w:sz w:val="68"/>
        </w:rPr>
        <w:t>THE 72-HOUR</w:t>
        <w:br/>
        <w:t>WARNING</w:t>
      </w:r>
    </w:p>
    <w:p>
      <w:pPr>
        <w:spacing w:after="400"/>
      </w:pPr>
      <w:r>
        <w:rPr>
          <w:rFonts w:ascii="Aptos" w:hAnsi="Aptos"/>
          <w:b/>
          <w:color w:val="4678B8"/>
          <w:sz w:val="34"/>
        </w:rPr>
        <w:t>Research, Data Audit &amp; 24-Hour Build Blueprint</w:t>
      </w:r>
    </w:p>
    <w:tbl>
      <w:tblPr>
        <w:tblW w:type="auto" w:w="0"/>
        <w:jc w:val="center"/>
        <w:tblLook w:firstColumn="1" w:firstRow="1" w:lastColumn="0" w:lastRow="0" w:noHBand="0" w:noVBand="1" w:val="04A0"/>
      </w:tblPr>
      <w:tblGrid>
        <w:gridCol w:w="10166"/>
      </w:tblGrid>
      <w:tr>
        <w:tc>
          <w:tcPr>
            <w:tcW w:type="dxa" w:w="10166"/>
            <w:shd w:fill="142338"/>
            <w:tcMar>
              <w:top w:w="230" w:type="dxa"/>
              <w:start w:w="230" w:type="dxa"/>
              <w:bottom w:w="230" w:type="dxa"/>
              <w:end w:w="230" w:type="dxa"/>
            </w:tcMar>
          </w:tcPr>
          <w:p>
            <w:pPr>
              <w:spacing w:after="100"/>
            </w:pPr>
            <w:r>
              <w:rPr>
                <w:rFonts w:ascii="Aptos" w:hAnsi="Aptos"/>
                <w:b/>
                <w:color w:val="5AC8C0"/>
                <w:sz w:val="18"/>
              </w:rPr>
              <w:t>PROPOSED SYSTEM</w:t>
            </w:r>
          </w:p>
          <w:p>
            <w:pPr>
              <w:spacing w:after="60"/>
            </w:pPr>
            <w:r>
              <w:rPr>
                <w:rFonts w:ascii="Aptos" w:hAnsi="Aptos"/>
                <w:b/>
                <w:color w:val="FFFFFF"/>
                <w:sz w:val="32"/>
              </w:rPr>
              <w:t>CASCADEx  |  Forecast-to-Action Urban Cascade Twin</w:t>
            </w:r>
          </w:p>
          <w:p>
            <w:pPr>
              <w:spacing w:after="0"/>
            </w:pPr>
            <w:r>
              <w:rPr>
                <w:rFonts w:ascii="Aptos" w:hAnsi="Aptos"/>
                <w:color w:val="FFFFFF"/>
                <w:sz w:val="20"/>
              </w:rPr>
              <w:t>A Mumbai flood scenario engine that traces rainfall pressure through urban access networks and compares preventive actions under a limited resource budget.</w:t>
            </w:r>
          </w:p>
        </w:tc>
      </w:tr>
    </w:tbl>
    <w:p/>
    <w:p>
      <w:pPr>
        <w:spacing w:before="0" w:after="140" w:line="252" w:lineRule="auto"/>
      </w:pPr>
      <w:r>
        <w:rPr>
          <w:rFonts w:ascii="Aptos" w:hAnsi="Aptos"/>
          <w:b/>
          <w:color w:val="182638"/>
          <w:sz w:val="21"/>
        </w:rPr>
        <w:t>Chosen problem statement:</w:t>
      </w:r>
      <w:r>
        <w:rPr>
          <w:rFonts w:ascii="Aptos" w:hAnsi="Aptos"/>
          <w:i w:val="0"/>
          <w:color w:val="182638"/>
          <w:sz w:val="21"/>
        </w:rPr>
        <w:t xml:space="preserve"> Theme 2, PS 2.2 — The 72-Hour Warning</w:t>
      </w:r>
    </w:p>
    <w:p>
      <w:pPr>
        <w:spacing w:before="0" w:after="280" w:line="252" w:lineRule="auto"/>
      </w:pPr>
      <w:r>
        <w:rPr>
          <w:rFonts w:ascii="Aptos" w:hAnsi="Aptos"/>
          <w:i w:val="0"/>
          <w:color w:val="5C6B78"/>
          <w:sz w:val="18"/>
        </w:rPr>
        <w:t>Prepared: 25 October 2026  |  Event constraint: 24-hour offline hackathon  |  Budget assumption: free/open-source stack only</w:t>
      </w:r>
    </w:p>
    <w:tbl>
      <w:tblPr>
        <w:tblW w:type="auto" w:w="0"/>
        <w:jc w:val="center"/>
        <w:tblLayout w:type="fixed"/>
        <w:tblLook w:firstColumn="1" w:firstRow="1" w:lastColumn="0" w:lastRow="0" w:noHBand="0" w:noVBand="1" w:val="04A0"/>
      </w:tblPr>
      <w:tblGrid>
        <w:gridCol w:w="9936"/>
      </w:tblGrid>
      <w:tr>
        <w:tc>
          <w:tcPr>
            <w:tcW w:type="dxa" w:w="10166"/>
            <w:shd w:fill="E8F6F4"/>
            <w:tcMar>
              <w:top w:w="140" w:type="dxa"/>
              <w:start w:w="180" w:type="dxa"/>
              <w:bottom w:w="140" w:type="dxa"/>
              <w:end w:w="180" w:type="dxa"/>
            </w:tcMar>
          </w:tcPr>
          <w:p>
            <w:pPr>
              <w:spacing w:after="80"/>
            </w:pPr>
            <w:r>
              <w:rPr>
                <w:rFonts w:ascii="Aptos" w:hAnsi="Aptos"/>
                <w:b/>
                <w:color w:val="0F9D91"/>
                <w:sz w:val="21"/>
              </w:rPr>
              <w:t>THE CENTRAL DESIGN DECISION</w:t>
            </w:r>
          </w:p>
          <w:p>
            <w:pPr>
              <w:spacing w:after="0" w:line="252" w:lineRule="auto"/>
            </w:pPr>
            <w:r>
              <w:rPr>
                <w:rFonts w:ascii="Aptos" w:hAnsi="Aptos"/>
                <w:color w:val="182638"/>
                <w:sz w:val="18"/>
              </w:rPr>
              <w:t>Do not build another flood-risk map. Build a small, evidence-traceable cascade model that estimates how rainfall-driven hotspots could disrupt roads and emergency-service access, then calculates which limited intervention best preserves access. The 3D city is the decision interface; the graph and counterfactual metric are the product.</w:t>
            </w:r>
          </w:p>
        </w:tc>
      </w:tr>
    </w:tbl>
    <w:p>
      <w:pPr>
        <w:spacing w:after="0"/>
      </w:pPr>
    </w:p>
    <w:p>
      <w:pPr>
        <w:spacing w:before="240" w:after="0" w:line="252" w:lineRule="auto"/>
      </w:pPr>
      <w:r>
        <w:rPr>
          <w:rFonts w:ascii="Aptos" w:hAnsi="Aptos"/>
          <w:i/>
          <w:color w:val="5C6B78"/>
          <w:sz w:val="17"/>
        </w:rPr>
        <w:t>Important scope note: this is a hackathon decision-support prototype, not an operational emergency warning system. It must distinguish observed data, forecast data, model estimates and scenario assumptions. No result should be presented as calibrated probability, measured flood depth or lives saved unless independently validated.</w:t>
      </w:r>
    </w:p>
    <w:p>
      <w:r>
        <w:br w:type="page"/>
      </w:r>
    </w:p>
    <w:p>
      <w:pPr>
        <w:pStyle w:val="Heading1"/>
        <w:keepNext/>
      </w:pPr>
      <w:r>
        <w:rPr>
          <w:rFonts w:ascii="Aptos" w:hAnsi="Aptos"/>
          <w:b/>
          <w:color w:val="142338"/>
          <w:sz w:val="36"/>
        </w:rPr>
        <w:t>At a glance</w:t>
      </w:r>
    </w:p>
    <w:tbl>
      <w:tblPr>
        <w:tblW w:type="auto" w:w="0"/>
        <w:jc w:val="center"/>
        <w:tblLayout w:type="fixed"/>
        <w:tblLook w:firstColumn="1" w:firstRow="1" w:lastColumn="0" w:lastRow="0" w:noHBand="0" w:noVBand="1" w:val="04A0"/>
      </w:tblPr>
      <w:tblGrid>
        <w:gridCol w:w="2088"/>
        <w:gridCol w:w="7992"/>
      </w:tblGrid>
      <w:tr>
        <w:trPr>
          <w:tblHeader w:val="true"/>
        </w:trPr>
        <w:tc>
          <w:tcPr>
            <w:tcW w:type="dxa" w:w="5083"/>
            <w:shd w:fill="142338"/>
            <w:tcMar>
              <w:top w:w="85" w:type="dxa"/>
              <w:start w:w="90" w:type="dxa"/>
              <w:bottom w:w="85" w:type="dxa"/>
              <w:end w:w="90" w:type="dxa"/>
            </w:tcMar>
            <w:vAlign w:val="center"/>
          </w:tcPr>
          <w:p>
            <w:pPr>
              <w:spacing w:after="0"/>
            </w:pPr>
            <w:r>
              <w:rPr>
                <w:rFonts w:ascii="Aptos" w:hAnsi="Aptos"/>
                <w:b/>
                <w:color w:val="FFFFFF"/>
                <w:sz w:val="16"/>
              </w:rPr>
              <w:t>Decision</w:t>
            </w:r>
          </w:p>
        </w:tc>
        <w:tc>
          <w:tcPr>
            <w:tcW w:type="dxa" w:w="5083"/>
            <w:shd w:fill="142338"/>
            <w:tcMar>
              <w:top w:w="85" w:type="dxa"/>
              <w:start w:w="90" w:type="dxa"/>
              <w:bottom w:w="85" w:type="dxa"/>
              <w:end w:w="90" w:type="dxa"/>
            </w:tcMar>
            <w:vAlign w:val="center"/>
          </w:tcPr>
          <w:p>
            <w:pPr>
              <w:spacing w:after="0"/>
            </w:pPr>
            <w:r>
              <w:rPr>
                <w:rFonts w:ascii="Aptos" w:hAnsi="Aptos"/>
                <w:b/>
                <w:color w:val="FFFFFF"/>
                <w:sz w:val="16"/>
              </w:rPr>
              <w:t>Recommendation</w:t>
            </w:r>
          </w:p>
        </w:tc>
      </w:tr>
      <w:tr>
        <w:tc>
          <w:tcPr>
            <w:tcW w:type="dxa" w:w="2088"/>
            <w:tcMar>
              <w:top w:w="75" w:type="dxa"/>
              <w:start w:w="90" w:type="dxa"/>
              <w:bottom w:w="75" w:type="dxa"/>
              <w:end w:w="90" w:type="dxa"/>
            </w:tcMar>
            <w:vAlign w:val="top"/>
          </w:tcPr>
          <w:p>
            <w:pPr>
              <w:spacing w:after="0" w:line="240" w:lineRule="auto"/>
            </w:pPr>
            <w:r>
              <w:rPr>
                <w:rFonts w:ascii="Aptos" w:hAnsi="Aptos"/>
                <w:color w:val="182638"/>
                <w:sz w:val="16"/>
              </w:rPr>
              <w:t>PS interpretation</w:t>
            </w:r>
          </w:p>
        </w:tc>
        <w:tc>
          <w:tcPr>
            <w:tcW w:type="dxa" w:w="7992"/>
            <w:tcMar>
              <w:top w:w="75" w:type="dxa"/>
              <w:start w:w="90" w:type="dxa"/>
              <w:bottom w:w="75" w:type="dxa"/>
              <w:end w:w="90" w:type="dxa"/>
            </w:tcMar>
            <w:vAlign w:val="top"/>
          </w:tcPr>
          <w:p>
            <w:pPr>
              <w:spacing w:after="0" w:line="240" w:lineRule="auto"/>
            </w:pPr>
            <w:r>
              <w:rPr>
                <w:rFonts w:ascii="Aptos" w:hAnsi="Aptos"/>
                <w:color w:val="182638"/>
                <w:sz w:val="16"/>
              </w:rPr>
              <w:t>PS 2.2: predict risk from one hour to 72 hours ahead, infer how an initial disruption propagates across connected urban systems, estimate time-to-critical, explain drivers and compare constrained preventive actions. [R1]</w:t>
            </w:r>
          </w:p>
        </w:tc>
      </w:tr>
      <w:tr>
        <w:tc>
          <w:tcPr>
            <w:tcW w:type="dxa" w:w="2088"/>
            <w:tcMar>
              <w:top w:w="75" w:type="dxa"/>
              <w:start w:w="90" w:type="dxa"/>
              <w:bottom w:w="75" w:type="dxa"/>
              <w:end w:w="90" w:type="dxa"/>
            </w:tcMar>
            <w:vAlign w:val="top"/>
            <w:shd w:fill="F4F7F9"/>
          </w:tcPr>
          <w:p>
            <w:pPr>
              <w:spacing w:after="0" w:line="240" w:lineRule="auto"/>
            </w:pPr>
            <w:r>
              <w:rPr>
                <w:rFonts w:ascii="Aptos" w:hAnsi="Aptos"/>
                <w:color w:val="182638"/>
                <w:sz w:val="16"/>
              </w:rPr>
              <w:t>Target geography</w:t>
            </w:r>
          </w:p>
        </w:tc>
        <w:tc>
          <w:tcPr>
            <w:tcW w:type="dxa" w:w="7992"/>
            <w:tcMar>
              <w:top w:w="75" w:type="dxa"/>
              <w:start w:w="90" w:type="dxa"/>
              <w:bottom w:w="75" w:type="dxa"/>
              <w:end w:w="90" w:type="dxa"/>
            </w:tcMar>
            <w:vAlign w:val="top"/>
            <w:shd w:fill="F4F7F9"/>
          </w:tcPr>
          <w:p>
            <w:pPr>
              <w:spacing w:after="0" w:line="240" w:lineRule="auto"/>
            </w:pPr>
            <w:r>
              <w:rPr>
                <w:rFonts w:ascii="Aptos" w:hAnsi="Aptos"/>
                <w:color w:val="182638"/>
                <w:sz w:val="16"/>
              </w:rPr>
              <w:t>Mumbai, initially one data-rich urban corridor/catchment selected after a 60-minute source audit. Candidate: Mithi River corridor and adjacent low-lying blocks, contingent on actual layer coverage.</w:t>
            </w:r>
          </w:p>
        </w:tc>
      </w:tr>
      <w:tr>
        <w:tc>
          <w:tcPr>
            <w:tcW w:type="dxa" w:w="2088"/>
            <w:tcMar>
              <w:top w:w="75" w:type="dxa"/>
              <w:start w:w="90" w:type="dxa"/>
              <w:bottom w:w="75" w:type="dxa"/>
              <w:end w:w="90" w:type="dxa"/>
            </w:tcMar>
            <w:vAlign w:val="top"/>
          </w:tcPr>
          <w:p>
            <w:pPr>
              <w:spacing w:after="0" w:line="240" w:lineRule="auto"/>
            </w:pPr>
            <w:r>
              <w:rPr>
                <w:rFonts w:ascii="Aptos" w:hAnsi="Aptos"/>
                <w:color w:val="182638"/>
                <w:sz w:val="16"/>
              </w:rPr>
              <w:t>Primary hazard</w:t>
            </w:r>
          </w:p>
        </w:tc>
        <w:tc>
          <w:tcPr>
            <w:tcW w:type="dxa" w:w="7992"/>
            <w:tcMar>
              <w:top w:w="75" w:type="dxa"/>
              <w:start w:w="90" w:type="dxa"/>
              <w:bottom w:w="75" w:type="dxa"/>
              <w:end w:w="90" w:type="dxa"/>
            </w:tcMar>
            <w:vAlign w:val="top"/>
          </w:tcPr>
          <w:p>
            <w:pPr>
              <w:spacing w:after="0" w:line="240" w:lineRule="auto"/>
            </w:pPr>
            <w:r>
              <w:rPr>
                <w:rFonts w:ascii="Aptos" w:hAnsi="Aptos"/>
                <w:color w:val="182638"/>
                <w:sz w:val="16"/>
              </w:rPr>
              <w:t>Extreme rainfall leading to urban-flood susceptibility, road access degradation, loss of reachability to hospitals/fire/shelters, and aggregate settlement isolation.</w:t>
            </w:r>
          </w:p>
        </w:tc>
      </w:tr>
      <w:tr>
        <w:tc>
          <w:tcPr>
            <w:tcW w:type="dxa" w:w="2088"/>
            <w:tcMar>
              <w:top w:w="75" w:type="dxa"/>
              <w:start w:w="90" w:type="dxa"/>
              <w:bottom w:w="75" w:type="dxa"/>
              <w:end w:w="90" w:type="dxa"/>
            </w:tcMar>
            <w:vAlign w:val="top"/>
            <w:shd w:fill="F4F7F9"/>
          </w:tcPr>
          <w:p>
            <w:pPr>
              <w:spacing w:after="0" w:line="240" w:lineRule="auto"/>
            </w:pPr>
            <w:r>
              <w:rPr>
                <w:rFonts w:ascii="Aptos" w:hAnsi="Aptos"/>
                <w:color w:val="182638"/>
                <w:sz w:val="16"/>
              </w:rPr>
              <w:t>Best novelty</w:t>
            </w:r>
          </w:p>
        </w:tc>
        <w:tc>
          <w:tcPr>
            <w:tcW w:type="dxa" w:w="7992"/>
            <w:tcMar>
              <w:top w:w="75" w:type="dxa"/>
              <w:start w:w="90" w:type="dxa"/>
              <w:bottom w:w="75" w:type="dxa"/>
              <w:end w:w="90" w:type="dxa"/>
            </w:tcMar>
            <w:vAlign w:val="top"/>
            <w:shd w:fill="F4F7F9"/>
          </w:tcPr>
          <w:p>
            <w:pPr>
              <w:spacing w:after="0" w:line="240" w:lineRule="auto"/>
            </w:pPr>
            <w:r>
              <w:rPr>
                <w:rFonts w:ascii="Aptos" w:hAnsi="Aptos"/>
                <w:color w:val="182638"/>
                <w:sz w:val="16"/>
              </w:rPr>
              <w:t>Impact-first, uncertainty-aware cascade graph + counterfactual resource placement + replayable evidence trail.</w:t>
            </w:r>
          </w:p>
        </w:tc>
      </w:tr>
      <w:tr>
        <w:tc>
          <w:tcPr>
            <w:tcW w:type="dxa" w:w="2088"/>
            <w:tcMar>
              <w:top w:w="75" w:type="dxa"/>
              <w:start w:w="90" w:type="dxa"/>
              <w:bottom w:w="75" w:type="dxa"/>
              <w:end w:w="90" w:type="dxa"/>
            </w:tcMar>
            <w:vAlign w:val="top"/>
          </w:tcPr>
          <w:p>
            <w:pPr>
              <w:spacing w:after="0" w:line="240" w:lineRule="auto"/>
            </w:pPr>
            <w:r>
              <w:rPr>
                <w:rFonts w:ascii="Aptos" w:hAnsi="Aptos"/>
                <w:color w:val="182638"/>
                <w:sz w:val="16"/>
              </w:rPr>
              <w:t>Real data backbone</w:t>
            </w:r>
          </w:p>
        </w:tc>
        <w:tc>
          <w:tcPr>
            <w:tcW w:type="dxa" w:w="7992"/>
            <w:tcMar>
              <w:top w:w="75" w:type="dxa"/>
              <w:start w:w="90" w:type="dxa"/>
              <w:bottom w:w="75" w:type="dxa"/>
              <w:end w:w="90" w:type="dxa"/>
            </w:tcMar>
            <w:vAlign w:val="top"/>
          </w:tcPr>
          <w:p>
            <w:pPr>
              <w:spacing w:after="0" w:line="240" w:lineRule="auto"/>
            </w:pPr>
            <w:r>
              <w:rPr>
                <w:rFonts w:ascii="Aptos" w:hAnsi="Aptos"/>
                <w:color w:val="182638"/>
                <w:sz w:val="16"/>
              </w:rPr>
              <w:t>Mumbai station rainfall time series; Open-Meteo 72-hour forecast/historical forecast archive; MCGM municipal GIS assets; Bhuvan historical inundation context; GHSL/OSM fallbacks. [R2-R16]</w:t>
            </w:r>
          </w:p>
        </w:tc>
      </w:tr>
      <w:tr>
        <w:tc>
          <w:tcPr>
            <w:tcW w:type="dxa" w:w="2088"/>
            <w:tcMar>
              <w:top w:w="75" w:type="dxa"/>
              <w:start w:w="90" w:type="dxa"/>
              <w:bottom w:w="75" w:type="dxa"/>
              <w:end w:w="90" w:type="dxa"/>
            </w:tcMar>
            <w:vAlign w:val="top"/>
            <w:shd w:fill="F4F7F9"/>
          </w:tcPr>
          <w:p>
            <w:pPr>
              <w:spacing w:after="0" w:line="240" w:lineRule="auto"/>
            </w:pPr>
            <w:r>
              <w:rPr>
                <w:rFonts w:ascii="Aptos" w:hAnsi="Aptos"/>
                <w:color w:val="182638"/>
                <w:sz w:val="16"/>
              </w:rPr>
              <w:t>ML strategy</w:t>
            </w:r>
          </w:p>
        </w:tc>
        <w:tc>
          <w:tcPr>
            <w:tcW w:type="dxa" w:w="7992"/>
            <w:tcMar>
              <w:top w:w="75" w:type="dxa"/>
              <w:start w:w="90" w:type="dxa"/>
              <w:bottom w:w="75" w:type="dxa"/>
              <w:end w:w="90" w:type="dxa"/>
            </w:tcMar>
            <w:vAlign w:val="top"/>
            <w:shd w:fill="F4F7F9"/>
          </w:tcPr>
          <w:p>
            <w:pPr>
              <w:spacing w:after="0" w:line="240" w:lineRule="auto"/>
            </w:pPr>
            <w:r>
              <w:rPr>
                <w:rFonts w:ascii="Aptos" w:hAnsi="Aptos"/>
                <w:color w:val="182638"/>
                <w:sz w:val="16"/>
              </w:rPr>
              <w:t>No fake end-to-end flood model. Use forecast forcing + a transparent spatial susceptibility score + graph simulation. Train a compact rainfall baseline only if the temporal alignment and holdout are audited.</w:t>
            </w:r>
          </w:p>
        </w:tc>
      </w:tr>
      <w:tr>
        <w:tc>
          <w:tcPr>
            <w:tcW w:type="dxa" w:w="2088"/>
            <w:tcMar>
              <w:top w:w="75" w:type="dxa"/>
              <w:start w:w="90" w:type="dxa"/>
              <w:bottom w:w="75" w:type="dxa"/>
              <w:end w:w="90" w:type="dxa"/>
            </w:tcMar>
            <w:vAlign w:val="top"/>
          </w:tcPr>
          <w:p>
            <w:pPr>
              <w:spacing w:after="0" w:line="240" w:lineRule="auto"/>
            </w:pPr>
            <w:r>
              <w:rPr>
                <w:rFonts w:ascii="Aptos" w:hAnsi="Aptos"/>
                <w:color w:val="182638"/>
                <w:sz w:val="16"/>
              </w:rPr>
              <w:t>UI strategy</w:t>
            </w:r>
          </w:p>
        </w:tc>
        <w:tc>
          <w:tcPr>
            <w:tcW w:type="dxa" w:w="7992"/>
            <w:tcMar>
              <w:top w:w="75" w:type="dxa"/>
              <w:start w:w="90" w:type="dxa"/>
              <w:bottom w:w="75" w:type="dxa"/>
              <w:end w:w="90" w:type="dxa"/>
            </w:tcMar>
            <w:vAlign w:val="top"/>
          </w:tcPr>
          <w:p>
            <w:pPr>
              <w:spacing w:after="0" w:line="240" w:lineRule="auto"/>
            </w:pPr>
            <w:r>
              <w:rPr>
                <w:rFonts w:ascii="Aptos" w:hAnsi="Aptos"/>
                <w:color w:val="182638"/>
                <w:sz w:val="16"/>
              </w:rPr>
              <w:t>MapLibre GL JS 3D extrusions, local GeoJSON/PMTiles, timeline from T+0 to T+72h, causal cascade trace, source-confidence layer and before/after intervention comparison. [R23-R24]</w:t>
            </w:r>
          </w:p>
        </w:tc>
      </w:tr>
      <w:tr>
        <w:tc>
          <w:tcPr>
            <w:tcW w:type="dxa" w:w="2088"/>
            <w:tcMar>
              <w:top w:w="75" w:type="dxa"/>
              <w:start w:w="90" w:type="dxa"/>
              <w:bottom w:w="75" w:type="dxa"/>
              <w:end w:w="90" w:type="dxa"/>
            </w:tcMar>
            <w:vAlign w:val="top"/>
            <w:shd w:fill="F4F7F9"/>
          </w:tcPr>
          <w:p>
            <w:pPr>
              <w:spacing w:after="0" w:line="240" w:lineRule="auto"/>
            </w:pPr>
            <w:r>
              <w:rPr>
                <w:rFonts w:ascii="Aptos" w:hAnsi="Aptos"/>
                <w:color w:val="182638"/>
                <w:sz w:val="16"/>
              </w:rPr>
              <w:t>Free tier strategy</w:t>
            </w:r>
          </w:p>
        </w:tc>
        <w:tc>
          <w:tcPr>
            <w:tcW w:type="dxa" w:w="7992"/>
            <w:tcMar>
              <w:top w:w="75" w:type="dxa"/>
              <w:start w:w="90" w:type="dxa"/>
              <w:bottom w:w="75" w:type="dxa"/>
              <w:end w:w="90" w:type="dxa"/>
            </w:tcMar>
            <w:vAlign w:val="top"/>
            <w:shd w:fill="F4F7F9"/>
          </w:tcPr>
          <w:p>
            <w:pPr>
              <w:spacing w:after="0" w:line="240" w:lineRule="auto"/>
            </w:pPr>
            <w:r>
              <w:rPr>
                <w:rFonts w:ascii="Aptos" w:hAnsi="Aptos"/>
                <w:color w:val="182638"/>
                <w:sz w:val="16"/>
              </w:rPr>
              <w:t>No paid API, no external LLM, no hosted database. Pre-cache all data; scenario engine runs locally in browser or on the laptop. Optional static preview deploy to Cloudflare Pages. [R25]</w:t>
            </w:r>
          </w:p>
        </w:tc>
      </w:tr>
    </w:tbl>
    <w:p>
      <w:pPr>
        <w:spacing w:before="0" w:after="0" w:line="20" w:lineRule="exact"/>
      </w:pPr>
    </w:p>
    <w:p>
      <w:pPr>
        <w:pStyle w:val="Heading2"/>
        <w:keepNext/>
      </w:pPr>
      <w:r>
        <w:rPr>
          <w:rFonts w:ascii="Aptos" w:hAnsi="Aptos"/>
          <w:b/>
          <w:color w:val="0F9D91"/>
          <w:sz w:val="26"/>
        </w:rPr>
        <w:t>Executive recommendation</w:t>
      </w:r>
    </w:p>
    <w:p>
      <w:pPr>
        <w:spacing w:before="0" w:after="120" w:line="252" w:lineRule="auto"/>
      </w:pPr>
      <w:r>
        <w:rPr>
          <w:rFonts w:ascii="Aptos" w:hAnsi="Aptos"/>
          <w:i w:val="0"/>
        </w:rPr>
        <w:t>Choose PS 2.2 and pitch a narrow, high-impact system: “We forecast where a flood-driven disruption is likely to cascade into loss of emergency-service access, explain the chain, and optimize where limited response resources should be staged.” The prototype should forecast the forcing and simulate the consequences; it should not imply that public data already contains observed street-level flood depths, road closures and hospital overloads for every timestamp.</w:t>
      </w:r>
    </w:p>
    <w:p>
      <w:pPr>
        <w:spacing w:before="0" w:after="120" w:line="252" w:lineRule="auto"/>
      </w:pPr>
      <w:r>
        <w:rPr>
          <w:rFonts w:ascii="Aptos" w:hAnsi="Aptos"/>
          <w:i w:val="0"/>
        </w:rPr>
        <w:t>What would make this stand out is a measurable, decision-focused result: under a stated storm scenario, compare the baseline network with a plan that stages two response units at selected municipal facilities. Report the change in population-weighted reachability and the critical facilities that remain reachable. This is an estimated scenario outcome computed by your own graph, not a real-world causal claim.</w:t>
      </w:r>
    </w:p>
    <w:tbl>
      <w:tblPr>
        <w:tblW w:type="auto" w:w="0"/>
        <w:jc w:val="center"/>
        <w:tblLayout w:type="fixed"/>
        <w:tblLook w:firstColumn="1" w:firstRow="1" w:lastColumn="0" w:lastRow="0" w:noHBand="0" w:noVBand="1" w:val="04A0"/>
      </w:tblPr>
      <w:tblGrid>
        <w:gridCol w:w="9936"/>
      </w:tblGrid>
      <w:tr>
        <w:tc>
          <w:tcPr>
            <w:tcW w:type="dxa" w:w="10166"/>
            <w:shd w:fill="FFF4E1"/>
            <w:tcMar>
              <w:top w:w="140" w:type="dxa"/>
              <w:start w:w="180" w:type="dxa"/>
              <w:bottom w:w="140" w:type="dxa"/>
              <w:end w:w="180" w:type="dxa"/>
            </w:tcMar>
          </w:tcPr>
          <w:p>
            <w:pPr>
              <w:spacing w:after="80"/>
            </w:pPr>
            <w:r>
              <w:rPr>
                <w:rFonts w:ascii="Aptos" w:hAnsi="Aptos"/>
                <w:b/>
                <w:color w:val="E6A23C"/>
                <w:sz w:val="21"/>
              </w:rPr>
              <w:t>NO-BS COMPETITIVE POSITIONING</w:t>
            </w:r>
          </w:p>
          <w:p>
            <w:pPr>
              <w:spacing w:after="0" w:line="252" w:lineRule="auto"/>
            </w:pPr>
            <w:r>
              <w:rPr>
                <w:rFonts w:ascii="Aptos" w:hAnsi="Aptos"/>
                <w:color w:val="182638"/>
                <w:sz w:val="18"/>
              </w:rPr>
              <w:t>The public repository scan found flood projects with attractive dashboards and ambitious stacks, but some rely on mock data or initialize models on synthetic data. We inspected actual repository code paths and found hard-coded illustrative Mumbai figures in one repo and an explicit synthetic-training startup path in another. Your advantage is provenance, explicit uncertainty and an intervention metric that can be reproduced. [R28-R30]</w:t>
            </w:r>
          </w:p>
        </w:tc>
      </w:tr>
    </w:tbl>
    <w:p>
      <w:pPr>
        <w:spacing w:after="0"/>
      </w:pPr>
    </w:p>
    <w:p>
      <w:pPr>
        <w:pStyle w:val="Heading2"/>
        <w:keepNext/>
      </w:pPr>
      <w:r>
        <w:rPr>
          <w:rFonts w:ascii="Aptos" w:hAnsi="Aptos"/>
          <w:b/>
          <w:color w:val="0F9D91"/>
          <w:sz w:val="26"/>
        </w:rPr>
        <w:t>Contents</w:t>
      </w:r>
    </w:p>
    <w:p>
      <w:pPr>
        <w:spacing w:before="0" w:after="40" w:line="252" w:lineRule="auto"/>
      </w:pPr>
      <w:r>
        <w:rPr>
          <w:rFonts w:ascii="Aptos" w:hAnsi="Aptos"/>
          <w:i w:val="0"/>
          <w:sz w:val="18"/>
        </w:rPr>
        <w:t>1. PS 2.2 requirements translated into a build checklist</w:t>
      </w:r>
    </w:p>
    <w:p>
      <w:pPr>
        <w:spacing w:before="0" w:after="40" w:line="252" w:lineRule="auto"/>
      </w:pPr>
      <w:r>
        <w:rPr>
          <w:rFonts w:ascii="Aptos" w:hAnsi="Aptos"/>
          <w:i w:val="0"/>
          <w:sz w:val="18"/>
        </w:rPr>
        <w:t>2. Concept, impact metric and differentiated novelty</w:t>
      </w:r>
    </w:p>
    <w:p>
      <w:pPr>
        <w:spacing w:before="0" w:after="40" w:line="252" w:lineRule="auto"/>
      </w:pPr>
      <w:r>
        <w:rPr>
          <w:rFonts w:ascii="Aptos" w:hAnsi="Aptos"/>
          <w:i w:val="0"/>
          <w:sz w:val="18"/>
        </w:rPr>
        <w:t>3. Data-source audit: what exists, what it can support, what is uncertain</w:t>
      </w:r>
    </w:p>
    <w:p>
      <w:pPr>
        <w:spacing w:before="0" w:after="40" w:line="252" w:lineRule="auto"/>
      </w:pPr>
      <w:r>
        <w:rPr>
          <w:rFonts w:ascii="Aptos" w:hAnsi="Aptos"/>
          <w:i w:val="0"/>
          <w:sz w:val="18"/>
        </w:rPr>
        <w:t>4. Exact acquisition workflow and fallback order</w:t>
      </w:r>
    </w:p>
    <w:p>
      <w:pPr>
        <w:spacing w:before="0" w:after="40" w:line="252" w:lineRule="auto"/>
      </w:pPr>
      <w:r>
        <w:rPr>
          <w:rFonts w:ascii="Aptos" w:hAnsi="Aptos"/>
          <w:i w:val="0"/>
          <w:sz w:val="18"/>
        </w:rPr>
        <w:t>5. GitHub repository review: reuse, caution and originality</w:t>
      </w:r>
    </w:p>
    <w:p>
      <w:pPr>
        <w:spacing w:before="0" w:after="40" w:line="252" w:lineRule="auto"/>
      </w:pPr>
      <w:r>
        <w:rPr>
          <w:rFonts w:ascii="Aptos" w:hAnsi="Aptos"/>
          <w:i w:val="0"/>
          <w:sz w:val="18"/>
        </w:rPr>
        <w:t>6. Architecture and model design</w:t>
      </w:r>
    </w:p>
    <w:p>
      <w:pPr>
        <w:spacing w:before="0" w:after="40" w:line="252" w:lineRule="auto"/>
      </w:pPr>
      <w:r>
        <w:rPr>
          <w:rFonts w:ascii="Aptos" w:hAnsi="Aptos"/>
          <w:i w:val="0"/>
          <w:sz w:val="18"/>
        </w:rPr>
        <w:t>7. 3D interface specification</w:t>
      </w:r>
    </w:p>
    <w:p>
      <w:pPr>
        <w:spacing w:before="0" w:after="40" w:line="252" w:lineRule="auto"/>
      </w:pPr>
      <w:r>
        <w:rPr>
          <w:rFonts w:ascii="Aptos" w:hAnsi="Aptos"/>
          <w:i w:val="0"/>
          <w:sz w:val="18"/>
        </w:rPr>
        <w:t>8. Evaluation plan and evidence standards</w:t>
      </w:r>
    </w:p>
    <w:p>
      <w:pPr>
        <w:spacing w:before="0" w:after="40" w:line="252" w:lineRule="auto"/>
      </w:pPr>
      <w:r>
        <w:rPr>
          <w:rFonts w:ascii="Aptos" w:hAnsi="Aptos"/>
          <w:i w:val="0"/>
          <w:sz w:val="18"/>
        </w:rPr>
        <w:t>9. Twenty-four-hour execution schedule and team split</w:t>
      </w:r>
    </w:p>
    <w:p>
      <w:pPr>
        <w:spacing w:before="0" w:after="40" w:line="252" w:lineRule="auto"/>
      </w:pPr>
      <w:r>
        <w:rPr>
          <w:rFonts w:ascii="Aptos" w:hAnsi="Aptos"/>
          <w:i w:val="0"/>
          <w:sz w:val="18"/>
        </w:rPr>
        <w:t>10. Free-tier deployment, offline readiness and licensing</w:t>
      </w:r>
    </w:p>
    <w:p>
      <w:pPr>
        <w:spacing w:before="0" w:after="40" w:line="252" w:lineRule="auto"/>
      </w:pPr>
      <w:r>
        <w:rPr>
          <w:rFonts w:ascii="Aptos" w:hAnsi="Aptos"/>
          <w:i w:val="0"/>
          <w:sz w:val="18"/>
        </w:rPr>
        <w:t>11. Risks, fallback ladder and go/no-go gates</w:t>
      </w:r>
    </w:p>
    <w:p>
      <w:pPr>
        <w:spacing w:before="0" w:after="40" w:line="252" w:lineRule="auto"/>
      </w:pPr>
      <w:r>
        <w:rPr>
          <w:rFonts w:ascii="Aptos" w:hAnsi="Aptos"/>
          <w:i w:val="0"/>
          <w:sz w:val="18"/>
        </w:rPr>
        <w:t>12. Demo narrative, judging pitch and final acceptance checklist</w:t>
      </w:r>
    </w:p>
    <w:p>
      <w:pPr>
        <w:spacing w:before="0" w:after="40" w:line="252" w:lineRule="auto"/>
      </w:pPr>
      <w:r>
        <w:rPr>
          <w:rFonts w:ascii="Aptos" w:hAnsi="Aptos"/>
          <w:i w:val="0"/>
          <w:sz w:val="18"/>
        </w:rPr>
        <w:t>Appendix A. Example data contracts and API queries</w:t>
      </w:r>
    </w:p>
    <w:p>
      <w:pPr>
        <w:spacing w:before="0" w:after="40" w:line="252" w:lineRule="auto"/>
      </w:pPr>
      <w:r>
        <w:rPr>
          <w:rFonts w:ascii="Aptos" w:hAnsi="Aptos"/>
          <w:i w:val="0"/>
          <w:sz w:val="18"/>
        </w:rPr>
        <w:t>Appendix B. Source register and bibliography</w:t>
      </w:r>
    </w:p>
    <w:p>
      <w:r>
        <w:br w:type="page"/>
      </w:r>
    </w:p>
    <w:p>
      <w:pPr>
        <w:pStyle w:val="Heading1"/>
        <w:keepNext/>
      </w:pPr>
      <w:r>
        <w:rPr>
          <w:rFonts w:ascii="Aptos" w:hAnsi="Aptos"/>
          <w:b/>
          <w:color w:val="142338"/>
          <w:sz w:val="36"/>
        </w:rPr>
        <w:t>1. PS 2.2 requirements translated into a build checklist</w:t>
      </w:r>
    </w:p>
    <w:p>
      <w:pPr>
        <w:spacing w:before="0" w:after="100" w:line="252" w:lineRule="auto"/>
      </w:pPr>
      <w:r>
        <w:rPr>
          <w:rFonts w:ascii="Aptos" w:hAnsi="Aptos"/>
          <w:i w:val="0"/>
        </w:rPr>
        <w:t>The supplied CASCADE ’26 brief explicitly asks for multi-horizon forecasting (next hour to 72 hours), inferred system dependencies, stage-by-stage cascade prediction, online belief updates under drift, robust handling of unreliable inputs, causal explanations, constrained counterfactual interventions with side effects, generalization to unseen scenarios/cities, and temporal validation that isolates future data. [R1] The table below maps each requirement to a feasible prototype behavior and an honest evidence claim.</w:t>
      </w:r>
    </w:p>
    <w:tbl>
      <w:tblPr>
        <w:tblW w:type="auto" w:w="0"/>
        <w:jc w:val="center"/>
        <w:tblLayout w:type="fixed"/>
        <w:tblLook w:firstColumn="1" w:firstRow="1" w:lastColumn="0" w:lastRow="0" w:noHBand="0" w:noVBand="1" w:val="04A0"/>
      </w:tblPr>
      <w:tblGrid>
        <w:gridCol w:w="2376"/>
        <w:gridCol w:w="4320"/>
        <w:gridCol w:w="3384"/>
      </w:tblGrid>
      <w:tr>
        <w:trPr>
          <w:tblHeader w:val="true"/>
        </w:trPr>
        <w:tc>
          <w:tcPr>
            <w:tcW w:type="dxa" w:w="3389"/>
            <w:shd w:fill="142338"/>
            <w:tcMar>
              <w:top w:w="85" w:type="dxa"/>
              <w:start w:w="90" w:type="dxa"/>
              <w:bottom w:w="85" w:type="dxa"/>
              <w:end w:w="90" w:type="dxa"/>
            </w:tcMar>
            <w:vAlign w:val="center"/>
          </w:tcPr>
          <w:p>
            <w:pPr>
              <w:spacing w:after="0"/>
            </w:pPr>
            <w:r>
              <w:rPr>
                <w:rFonts w:ascii="Aptos" w:hAnsi="Aptos"/>
                <w:b/>
                <w:color w:val="FFFFFF"/>
                <w:sz w:val="14"/>
              </w:rPr>
              <w:t>Brief requirement</w:t>
            </w:r>
          </w:p>
        </w:tc>
        <w:tc>
          <w:tcPr>
            <w:tcW w:type="dxa" w:w="3389"/>
            <w:shd w:fill="142338"/>
            <w:tcMar>
              <w:top w:w="85" w:type="dxa"/>
              <w:start w:w="90" w:type="dxa"/>
              <w:bottom w:w="85" w:type="dxa"/>
              <w:end w:w="90" w:type="dxa"/>
            </w:tcMar>
            <w:vAlign w:val="center"/>
          </w:tcPr>
          <w:p>
            <w:pPr>
              <w:spacing w:after="0"/>
            </w:pPr>
            <w:r>
              <w:rPr>
                <w:rFonts w:ascii="Aptos" w:hAnsi="Aptos"/>
                <w:b/>
                <w:color w:val="FFFFFF"/>
                <w:sz w:val="14"/>
              </w:rPr>
              <w:t>MVP implementation</w:t>
            </w:r>
          </w:p>
        </w:tc>
        <w:tc>
          <w:tcPr>
            <w:tcW w:type="dxa" w:w="3389"/>
            <w:shd w:fill="142338"/>
            <w:tcMar>
              <w:top w:w="85" w:type="dxa"/>
              <w:start w:w="90" w:type="dxa"/>
              <w:bottom w:w="85" w:type="dxa"/>
              <w:end w:w="90" w:type="dxa"/>
            </w:tcMar>
            <w:vAlign w:val="center"/>
          </w:tcPr>
          <w:p>
            <w:pPr>
              <w:spacing w:after="0"/>
            </w:pPr>
            <w:r>
              <w:rPr>
                <w:rFonts w:ascii="Aptos" w:hAnsi="Aptos"/>
                <w:b/>
                <w:color w:val="FFFFFF"/>
                <w:sz w:val="14"/>
              </w:rPr>
              <w:t>What we can honestly claim</w:t>
            </w:r>
          </w:p>
        </w:tc>
      </w:tr>
      <w:tr>
        <w:tc>
          <w:tcPr>
            <w:tcW w:type="dxa" w:w="2376"/>
            <w:tcMar>
              <w:top w:w="75" w:type="dxa"/>
              <w:start w:w="90" w:type="dxa"/>
              <w:bottom w:w="75" w:type="dxa"/>
              <w:end w:w="90" w:type="dxa"/>
            </w:tcMar>
            <w:vAlign w:val="top"/>
          </w:tcPr>
          <w:p>
            <w:pPr>
              <w:spacing w:after="0" w:line="240" w:lineRule="auto"/>
            </w:pPr>
            <w:r>
              <w:rPr>
                <w:rFonts w:ascii="Aptos" w:hAnsi="Aptos"/>
                <w:color w:val="182638"/>
                <w:sz w:val="14"/>
              </w:rPr>
              <w:t>NORMAL / WATCH / HIGH RISK / CRITICAL, per zone and city-wide</w:t>
            </w:r>
          </w:p>
        </w:tc>
        <w:tc>
          <w:tcPr>
            <w:tcW w:type="dxa" w:w="4320"/>
            <w:tcMar>
              <w:top w:w="75" w:type="dxa"/>
              <w:start w:w="90" w:type="dxa"/>
              <w:bottom w:w="75" w:type="dxa"/>
              <w:end w:w="90" w:type="dxa"/>
            </w:tcMar>
            <w:vAlign w:val="top"/>
          </w:tcPr>
          <w:p>
            <w:pPr>
              <w:spacing w:after="0" w:line="240" w:lineRule="auto"/>
            </w:pPr>
            <w:r>
              <w:rPr>
                <w:rFonts w:ascii="Aptos" w:hAnsi="Aptos"/>
                <w:color w:val="182638"/>
                <w:sz w:val="14"/>
              </w:rPr>
              <w:t>Create zone scores for horizons 1, 3, 6, 12, 24, 48, 72 hours; aggregate to ward/city view.</w:t>
            </w:r>
          </w:p>
        </w:tc>
        <w:tc>
          <w:tcPr>
            <w:tcW w:type="dxa" w:w="3384"/>
            <w:tcMar>
              <w:top w:w="75" w:type="dxa"/>
              <w:start w:w="90" w:type="dxa"/>
              <w:bottom w:w="75" w:type="dxa"/>
              <w:end w:w="90" w:type="dxa"/>
            </w:tcMar>
            <w:vAlign w:val="top"/>
          </w:tcPr>
          <w:p>
            <w:pPr>
              <w:spacing w:after="0" w:line="240" w:lineRule="auto"/>
            </w:pPr>
            <w:r>
              <w:rPr>
                <w:rFonts w:ascii="Aptos" w:hAnsi="Aptos"/>
                <w:color w:val="182638"/>
                <w:sz w:val="14"/>
              </w:rPr>
              <w:t>Risk classes are prototype decision categories. Do not call them calibrated flood probabilities unless validated against labeled outcomes.</w:t>
            </w:r>
          </w:p>
        </w:tc>
      </w:tr>
      <w:tr>
        <w:tc>
          <w:tcPr>
            <w:tcW w:type="dxa" w:w="2376"/>
            <w:tcMar>
              <w:top w:w="75" w:type="dxa"/>
              <w:start w:w="90" w:type="dxa"/>
              <w:bottom w:w="75" w:type="dxa"/>
              <w:end w:w="90" w:type="dxa"/>
            </w:tcMar>
            <w:vAlign w:val="top"/>
            <w:shd w:fill="F4F7F9"/>
          </w:tcPr>
          <w:p>
            <w:pPr>
              <w:spacing w:after="0" w:line="240" w:lineRule="auto"/>
            </w:pPr>
            <w:r>
              <w:rPr>
                <w:rFonts w:ascii="Aptos" w:hAnsi="Aptos"/>
                <w:color w:val="182638"/>
                <w:sz w:val="14"/>
              </w:rPr>
              <w:t>Multi-horizon forecasting; time-to-critical</w:t>
            </w:r>
          </w:p>
        </w:tc>
        <w:tc>
          <w:tcPr>
            <w:tcW w:type="dxa" w:w="4320"/>
            <w:tcMar>
              <w:top w:w="75" w:type="dxa"/>
              <w:start w:w="90" w:type="dxa"/>
              <w:bottom w:w="75" w:type="dxa"/>
              <w:end w:w="90" w:type="dxa"/>
            </w:tcMar>
            <w:vAlign w:val="top"/>
            <w:shd w:fill="F4F7F9"/>
          </w:tcPr>
          <w:p>
            <w:pPr>
              <w:spacing w:after="0" w:line="240" w:lineRule="auto"/>
            </w:pPr>
            <w:r>
              <w:rPr>
                <w:rFonts w:ascii="Aptos" w:hAnsi="Aptos"/>
                <w:color w:val="182638"/>
                <w:sz w:val="14"/>
              </w:rPr>
              <w:t>Use hourly forecast precipitation/antecedent rainfall as future forcing; produce time-indexed cascade outcomes. Estimate first horizon at which reachability-loss threshold is crossed.</w:t>
            </w:r>
          </w:p>
        </w:tc>
        <w:tc>
          <w:tcPr>
            <w:tcW w:type="dxa" w:w="3384"/>
            <w:tcMar>
              <w:top w:w="75" w:type="dxa"/>
              <w:start w:w="90" w:type="dxa"/>
              <w:bottom w:w="75" w:type="dxa"/>
              <w:end w:w="90" w:type="dxa"/>
            </w:tcMar>
            <w:vAlign w:val="top"/>
            <w:shd w:fill="F4F7F9"/>
          </w:tcPr>
          <w:p>
            <w:pPr>
              <w:spacing w:after="0" w:line="240" w:lineRule="auto"/>
            </w:pPr>
            <w:r>
              <w:rPr>
                <w:rFonts w:ascii="Aptos" w:hAnsi="Aptos"/>
                <w:color w:val="182638"/>
                <w:sz w:val="14"/>
              </w:rPr>
              <w:t>Forecast horizon follows weather input availability; local flood/access outputs are modelled estimates, not measured water-depth forecasts.</w:t>
            </w:r>
          </w:p>
        </w:tc>
      </w:tr>
      <w:tr>
        <w:tc>
          <w:tcPr>
            <w:tcW w:type="dxa" w:w="2376"/>
            <w:tcMar>
              <w:top w:w="75" w:type="dxa"/>
              <w:start w:w="90" w:type="dxa"/>
              <w:bottom w:w="75" w:type="dxa"/>
              <w:end w:w="90" w:type="dxa"/>
            </w:tcMar>
            <w:vAlign w:val="top"/>
          </w:tcPr>
          <w:p>
            <w:pPr>
              <w:spacing w:after="0" w:line="240" w:lineRule="auto"/>
            </w:pPr>
            <w:r>
              <w:rPr>
                <w:rFonts w:ascii="Aptos" w:hAnsi="Aptos"/>
                <w:color w:val="182638"/>
                <w:sz w:val="14"/>
              </w:rPr>
              <w:t>Dependencies are not provided</w:t>
            </w:r>
          </w:p>
        </w:tc>
        <w:tc>
          <w:tcPr>
            <w:tcW w:type="dxa" w:w="4320"/>
            <w:tcMar>
              <w:top w:w="75" w:type="dxa"/>
              <w:start w:w="90" w:type="dxa"/>
              <w:bottom w:w="75" w:type="dxa"/>
              <w:end w:w="90" w:type="dxa"/>
            </w:tcMar>
            <w:vAlign w:val="top"/>
          </w:tcPr>
          <w:p>
            <w:pPr>
              <w:spacing w:after="0" w:line="240" w:lineRule="auto"/>
            </w:pPr>
            <w:r>
              <w:rPr>
                <w:rFonts w:ascii="Aptos" w:hAnsi="Aptos"/>
                <w:color w:val="182638"/>
                <w:sz w:val="14"/>
              </w:rPr>
              <w:t>Infer operational graph from roads, mapped hotspots and facility/settlement links; rules are explicit and inspectable.</w:t>
            </w:r>
          </w:p>
        </w:tc>
        <w:tc>
          <w:tcPr>
            <w:tcW w:type="dxa" w:w="3384"/>
            <w:tcMar>
              <w:top w:w="75" w:type="dxa"/>
              <w:start w:w="90" w:type="dxa"/>
              <w:bottom w:w="75" w:type="dxa"/>
              <w:end w:w="90" w:type="dxa"/>
            </w:tcMar>
            <w:vAlign w:val="top"/>
          </w:tcPr>
          <w:p>
            <w:pPr>
              <w:spacing w:after="0" w:line="240" w:lineRule="auto"/>
            </w:pPr>
            <w:r>
              <w:rPr>
                <w:rFonts w:ascii="Aptos" w:hAnsi="Aptos"/>
                <w:color w:val="182638"/>
                <w:sz w:val="14"/>
              </w:rPr>
              <w:t>The MVP defines a defensible dependency hypothesis; it does not claim to discover every causal relationship from unlabeled data.</w:t>
            </w:r>
          </w:p>
        </w:tc>
      </w:tr>
      <w:tr>
        <w:tc>
          <w:tcPr>
            <w:tcW w:type="dxa" w:w="2376"/>
            <w:tcMar>
              <w:top w:w="75" w:type="dxa"/>
              <w:start w:w="90" w:type="dxa"/>
              <w:bottom w:w="75" w:type="dxa"/>
              <w:end w:w="90" w:type="dxa"/>
            </w:tcMar>
            <w:vAlign w:val="top"/>
            <w:shd w:fill="F4F7F9"/>
          </w:tcPr>
          <w:p>
            <w:pPr>
              <w:spacing w:after="0" w:line="240" w:lineRule="auto"/>
            </w:pPr>
            <w:r>
              <w:rPr>
                <w:rFonts w:ascii="Aptos" w:hAnsi="Aptos"/>
                <w:color w:val="182638"/>
                <w:sz w:val="14"/>
              </w:rPr>
              <w:t>Branching, feedback loops, simultaneous cascades</w:t>
            </w:r>
          </w:p>
        </w:tc>
        <w:tc>
          <w:tcPr>
            <w:tcW w:type="dxa" w:w="4320"/>
            <w:tcMar>
              <w:top w:w="75" w:type="dxa"/>
              <w:start w:w="90" w:type="dxa"/>
              <w:bottom w:w="75" w:type="dxa"/>
              <w:end w:w="90" w:type="dxa"/>
            </w:tcMar>
            <w:vAlign w:val="top"/>
            <w:shd w:fill="F4F7F9"/>
          </w:tcPr>
          <w:p>
            <w:pPr>
              <w:spacing w:after="0" w:line="240" w:lineRule="auto"/>
            </w:pPr>
            <w:r>
              <w:rPr>
                <w:rFonts w:ascii="Aptos" w:hAnsi="Aptos"/>
                <w:color w:val="182638"/>
                <w:sz w:val="14"/>
              </w:rPr>
              <w:t>Build a directed graph from hazard zones to road edges to facility access and settlement exposure. Optional evacuation scenario adds congestion penalty on selected egress edges.</w:t>
            </w:r>
          </w:p>
        </w:tc>
        <w:tc>
          <w:tcPr>
            <w:tcW w:type="dxa" w:w="3384"/>
            <w:tcMar>
              <w:top w:w="75" w:type="dxa"/>
              <w:start w:w="90" w:type="dxa"/>
              <w:bottom w:w="75" w:type="dxa"/>
              <w:end w:w="90" w:type="dxa"/>
            </w:tcMar>
            <w:vAlign w:val="top"/>
            <w:shd w:fill="F4F7F9"/>
          </w:tcPr>
          <w:p>
            <w:pPr>
              <w:spacing w:after="0" w:line="240" w:lineRule="auto"/>
            </w:pPr>
            <w:r>
              <w:rPr>
                <w:rFonts w:ascii="Aptos" w:hAnsi="Aptos"/>
                <w:color w:val="182638"/>
                <w:sz w:val="14"/>
              </w:rPr>
              <w:t>Branching is implemented for the chosen flood → access cascade; power, telecom and hospital-capacity branches are out of scope without reliable feeds.</w:t>
            </w:r>
          </w:p>
        </w:tc>
      </w:tr>
      <w:tr>
        <w:tc>
          <w:tcPr>
            <w:tcW w:type="dxa" w:w="2376"/>
            <w:tcMar>
              <w:top w:w="75" w:type="dxa"/>
              <w:start w:w="90" w:type="dxa"/>
              <w:bottom w:w="75" w:type="dxa"/>
              <w:end w:w="90" w:type="dxa"/>
            </w:tcMar>
            <w:vAlign w:val="top"/>
          </w:tcPr>
          <w:p>
            <w:pPr>
              <w:spacing w:after="0" w:line="240" w:lineRule="auto"/>
            </w:pPr>
            <w:r>
              <w:rPr>
                <w:rFonts w:ascii="Aptos" w:hAnsi="Aptos"/>
                <w:color w:val="182638"/>
                <w:sz w:val="14"/>
              </w:rPr>
              <w:t>Continuous online learning; concept drift</w:t>
            </w:r>
          </w:p>
        </w:tc>
        <w:tc>
          <w:tcPr>
            <w:tcW w:type="dxa" w:w="4320"/>
            <w:tcMar>
              <w:top w:w="75" w:type="dxa"/>
              <w:start w:w="90" w:type="dxa"/>
              <w:bottom w:w="75" w:type="dxa"/>
              <w:end w:w="90" w:type="dxa"/>
            </w:tcMar>
            <w:vAlign w:val="top"/>
          </w:tcPr>
          <w:p>
            <w:pPr>
              <w:spacing w:after="0" w:line="240" w:lineRule="auto"/>
            </w:pPr>
            <w:r>
              <w:rPr>
                <w:rFonts w:ascii="Aptos" w:hAnsi="Aptos"/>
                <w:color w:val="182638"/>
                <w:sz w:val="14"/>
              </w:rPr>
              <w:t>Update rolling rainfall baselines/source reliability as observations arrive; expose drift flag and last update. No full retrain from scratch.</w:t>
            </w:r>
          </w:p>
        </w:tc>
        <w:tc>
          <w:tcPr>
            <w:tcW w:type="dxa" w:w="3384"/>
            <w:tcMar>
              <w:top w:w="75" w:type="dxa"/>
              <w:start w:w="90" w:type="dxa"/>
              <w:bottom w:w="75" w:type="dxa"/>
              <w:end w:w="90" w:type="dxa"/>
            </w:tcMar>
            <w:vAlign w:val="top"/>
          </w:tcPr>
          <w:p>
            <w:pPr>
              <w:spacing w:after="0" w:line="240" w:lineRule="auto"/>
            </w:pPr>
            <w:r>
              <w:rPr>
                <w:rFonts w:ascii="Aptos" w:hAnsi="Aptos"/>
                <w:color w:val="182638"/>
                <w:sz w:val="14"/>
              </w:rPr>
              <w:t>This is online belief/baseline adaptation. Do not market it as end-to-end online supervised learning without labeled targets.</w:t>
            </w:r>
          </w:p>
        </w:tc>
      </w:tr>
      <w:tr>
        <w:tc>
          <w:tcPr>
            <w:tcW w:type="dxa" w:w="2376"/>
            <w:tcMar>
              <w:top w:w="75" w:type="dxa"/>
              <w:start w:w="90" w:type="dxa"/>
              <w:bottom w:w="75" w:type="dxa"/>
              <w:end w:w="90" w:type="dxa"/>
            </w:tcMar>
            <w:vAlign w:val="top"/>
            <w:shd w:fill="F4F7F9"/>
          </w:tcPr>
          <w:p>
            <w:pPr>
              <w:spacing w:after="0" w:line="240" w:lineRule="auto"/>
            </w:pPr>
            <w:r>
              <w:rPr>
                <w:rFonts w:ascii="Aptos" w:hAnsi="Aptos"/>
                <w:color w:val="182638"/>
                <w:sz w:val="14"/>
              </w:rPr>
              <w:t>Missing, delayed, contradictory and misleading inputs</w:t>
            </w:r>
          </w:p>
        </w:tc>
        <w:tc>
          <w:tcPr>
            <w:tcW w:type="dxa" w:w="4320"/>
            <w:tcMar>
              <w:top w:w="75" w:type="dxa"/>
              <w:start w:w="90" w:type="dxa"/>
              <w:bottom w:w="75" w:type="dxa"/>
              <w:end w:w="90" w:type="dxa"/>
            </w:tcMar>
            <w:vAlign w:val="top"/>
            <w:shd w:fill="F4F7F9"/>
          </w:tcPr>
          <w:p>
            <w:pPr>
              <w:spacing w:after="0" w:line="240" w:lineRule="auto"/>
            </w:pPr>
            <w:r>
              <w:rPr>
                <w:rFonts w:ascii="Aptos" w:hAnsi="Aptos"/>
                <w:color w:val="182638"/>
                <w:sz w:val="14"/>
              </w:rPr>
              <w:t>Every record keeps source, event time, ingestion time and quality state. Deduplicate; stale/missing source reduces confidence. Add a red-team outage/retraction fixture.</w:t>
            </w:r>
          </w:p>
        </w:tc>
        <w:tc>
          <w:tcPr>
            <w:tcW w:type="dxa" w:w="3384"/>
            <w:tcMar>
              <w:top w:w="75" w:type="dxa"/>
              <w:start w:w="90" w:type="dxa"/>
              <w:bottom w:w="75" w:type="dxa"/>
              <w:end w:w="90" w:type="dxa"/>
            </w:tcMar>
            <w:vAlign w:val="top"/>
            <w:shd w:fill="F4F7F9"/>
          </w:tcPr>
          <w:p>
            <w:pPr>
              <w:spacing w:after="0" w:line="240" w:lineRule="auto"/>
            </w:pPr>
            <w:r>
              <w:rPr>
                <w:rFonts w:ascii="Aptos" w:hAnsi="Aptos"/>
                <w:color w:val="182638"/>
                <w:sz w:val="14"/>
              </w:rPr>
              <w:t>Demonstrated resilience is limited to the injected test cases and the fields available in the prototype.</w:t>
            </w:r>
          </w:p>
        </w:tc>
      </w:tr>
      <w:tr>
        <w:tc>
          <w:tcPr>
            <w:tcW w:type="dxa" w:w="2376"/>
            <w:tcMar>
              <w:top w:w="75" w:type="dxa"/>
              <w:start w:w="90" w:type="dxa"/>
              <w:bottom w:w="75" w:type="dxa"/>
              <w:end w:w="90" w:type="dxa"/>
            </w:tcMar>
            <w:vAlign w:val="top"/>
          </w:tcPr>
          <w:p>
            <w:pPr>
              <w:spacing w:after="0" w:line="240" w:lineRule="auto"/>
            </w:pPr>
            <w:r>
              <w:rPr>
                <w:rFonts w:ascii="Aptos" w:hAnsi="Aptos"/>
                <w:color w:val="182638"/>
                <w:sz w:val="14"/>
              </w:rPr>
              <w:t>Causal explainability</w:t>
            </w:r>
          </w:p>
        </w:tc>
        <w:tc>
          <w:tcPr>
            <w:tcW w:type="dxa" w:w="4320"/>
            <w:tcMar>
              <w:top w:w="75" w:type="dxa"/>
              <w:start w:w="90" w:type="dxa"/>
              <w:bottom w:w="75" w:type="dxa"/>
              <w:end w:w="90" w:type="dxa"/>
            </w:tcMar>
            <w:vAlign w:val="top"/>
          </w:tcPr>
          <w:p>
            <w:pPr>
              <w:spacing w:after="0" w:line="240" w:lineRule="auto"/>
            </w:pPr>
            <w:r>
              <w:rPr>
                <w:rFonts w:ascii="Aptos" w:hAnsi="Aptos"/>
                <w:color w:val="182638"/>
                <w:sz w:val="14"/>
              </w:rPr>
              <w:t>Each risk change includes a trace: rainfall window → mapped hotspot → exposed road segment → changed shortest path → affected aggregate population/facility.</w:t>
            </w:r>
          </w:p>
        </w:tc>
        <w:tc>
          <w:tcPr>
            <w:tcW w:type="dxa" w:w="3384"/>
            <w:tcMar>
              <w:top w:w="75" w:type="dxa"/>
              <w:start w:w="90" w:type="dxa"/>
              <w:bottom w:w="75" w:type="dxa"/>
              <w:end w:w="90" w:type="dxa"/>
            </w:tcMar>
            <w:vAlign w:val="top"/>
          </w:tcPr>
          <w:p>
            <w:pPr>
              <w:spacing w:after="0" w:line="240" w:lineRule="auto"/>
            </w:pPr>
            <w:r>
              <w:rPr>
                <w:rFonts w:ascii="Aptos" w:hAnsi="Aptos"/>
                <w:color w:val="182638"/>
                <w:sz w:val="14"/>
              </w:rPr>
              <w:t>This is an auditable, rule-based causal model with declared assumptions, not causal discovery from observational data.</w:t>
            </w:r>
          </w:p>
        </w:tc>
      </w:tr>
      <w:tr>
        <w:tc>
          <w:tcPr>
            <w:tcW w:type="dxa" w:w="2376"/>
            <w:tcMar>
              <w:top w:w="75" w:type="dxa"/>
              <w:start w:w="90" w:type="dxa"/>
              <w:bottom w:w="75" w:type="dxa"/>
              <w:end w:w="90" w:type="dxa"/>
            </w:tcMar>
            <w:vAlign w:val="top"/>
            <w:shd w:fill="F4F7F9"/>
          </w:tcPr>
          <w:p>
            <w:pPr>
              <w:spacing w:after="0" w:line="240" w:lineRule="auto"/>
            </w:pPr>
            <w:r>
              <w:rPr>
                <w:rFonts w:ascii="Aptos" w:hAnsi="Aptos"/>
                <w:color w:val="182638"/>
                <w:sz w:val="14"/>
              </w:rPr>
              <w:t>Constrained counterfactual interventions and side-effects</w:t>
            </w:r>
          </w:p>
        </w:tc>
        <w:tc>
          <w:tcPr>
            <w:tcW w:type="dxa" w:w="4320"/>
            <w:tcMar>
              <w:top w:w="75" w:type="dxa"/>
              <w:start w:w="90" w:type="dxa"/>
              <w:bottom w:w="75" w:type="dxa"/>
              <w:end w:w="90" w:type="dxa"/>
            </w:tcMar>
            <w:vAlign w:val="top"/>
            <w:shd w:fill="F4F7F9"/>
          </w:tcPr>
          <w:p>
            <w:pPr>
              <w:spacing w:after="0" w:line="240" w:lineRule="auto"/>
            </w:pPr>
            <w:r>
              <w:rPr>
                <w:rFonts w:ascii="Aptos" w:hAnsi="Aptos"/>
                <w:color w:val="182638"/>
                <w:sz w:val="14"/>
              </w:rPr>
              <w:t>Compare baseline with k response units staged at candidate facilities; optionally add evacuation congestion penalties. Rank interventions by marginal retained reachability.</w:t>
            </w:r>
          </w:p>
        </w:tc>
        <w:tc>
          <w:tcPr>
            <w:tcW w:type="dxa" w:w="3384"/>
            <w:tcMar>
              <w:top w:w="75" w:type="dxa"/>
              <w:start w:w="90" w:type="dxa"/>
              <w:bottom w:w="75" w:type="dxa"/>
              <w:end w:w="90" w:type="dxa"/>
            </w:tcMar>
            <w:vAlign w:val="top"/>
            <w:shd w:fill="F4F7F9"/>
          </w:tcPr>
          <w:p>
            <w:pPr>
              <w:spacing w:after="0" w:line="240" w:lineRule="auto"/>
            </w:pPr>
            <w:r>
              <w:rPr>
                <w:rFonts w:ascii="Aptos" w:hAnsi="Aptos"/>
                <w:color w:val="182638"/>
                <w:sz w:val="14"/>
              </w:rPr>
              <w:t>Impact delta is computed against the modelled baseline and depends on explicit routing/resource assumptions.</w:t>
            </w:r>
          </w:p>
        </w:tc>
      </w:tr>
      <w:tr>
        <w:tc>
          <w:tcPr>
            <w:tcW w:type="dxa" w:w="2376"/>
            <w:tcMar>
              <w:top w:w="75" w:type="dxa"/>
              <w:start w:w="90" w:type="dxa"/>
              <w:bottom w:w="75" w:type="dxa"/>
              <w:end w:w="90" w:type="dxa"/>
            </w:tcMar>
            <w:vAlign w:val="top"/>
          </w:tcPr>
          <w:p>
            <w:pPr>
              <w:spacing w:after="0" w:line="240" w:lineRule="auto"/>
            </w:pPr>
            <w:r>
              <w:rPr>
                <w:rFonts w:ascii="Aptos" w:hAnsi="Aptos"/>
                <w:color w:val="182638"/>
                <w:sz w:val="14"/>
              </w:rPr>
              <w:t>Generalize to unseen city/scenario</w:t>
            </w:r>
          </w:p>
        </w:tc>
        <w:tc>
          <w:tcPr>
            <w:tcW w:type="dxa" w:w="4320"/>
            <w:tcMar>
              <w:top w:w="75" w:type="dxa"/>
              <w:start w:w="90" w:type="dxa"/>
              <w:bottom w:w="75" w:type="dxa"/>
              <w:end w:w="90" w:type="dxa"/>
            </w:tcMar>
            <w:vAlign w:val="top"/>
          </w:tcPr>
          <w:p>
            <w:pPr>
              <w:spacing w:after="0" w:line="240" w:lineRule="auto"/>
            </w:pPr>
            <w:r>
              <w:rPr>
                <w:rFonts w:ascii="Aptos" w:hAnsi="Aptos"/>
                <w:color w:val="182638"/>
                <w:sz w:val="14"/>
              </w:rPr>
              <w:t>Keep geometry, stations and graph inputs configurable; hold out one ward/catchment or test a synthetic extreme-rainfall sequence.</w:t>
            </w:r>
          </w:p>
        </w:tc>
        <w:tc>
          <w:tcPr>
            <w:tcW w:type="dxa" w:w="3384"/>
            <w:tcMar>
              <w:top w:w="75" w:type="dxa"/>
              <w:start w:w="90" w:type="dxa"/>
              <w:bottom w:w="75" w:type="dxa"/>
              <w:end w:w="90" w:type="dxa"/>
            </w:tcMar>
            <w:vAlign w:val="top"/>
          </w:tcPr>
          <w:p>
            <w:pPr>
              <w:spacing w:after="0" w:line="240" w:lineRule="auto"/>
            </w:pPr>
            <w:r>
              <w:rPr>
                <w:rFonts w:ascii="Aptos" w:hAnsi="Aptos"/>
                <w:color w:val="182638"/>
                <w:sz w:val="14"/>
              </w:rPr>
              <w:t>Generalization is software/scenario generalization, not proof of city-to-city calibrated accuracy.</w:t>
            </w:r>
          </w:p>
        </w:tc>
      </w:tr>
      <w:tr>
        <w:tc>
          <w:tcPr>
            <w:tcW w:type="dxa" w:w="2376"/>
            <w:tcMar>
              <w:top w:w="75" w:type="dxa"/>
              <w:start w:w="90" w:type="dxa"/>
              <w:bottom w:w="75" w:type="dxa"/>
              <w:end w:w="90" w:type="dxa"/>
            </w:tcMar>
            <w:vAlign w:val="top"/>
            <w:shd w:fill="F4F7F9"/>
          </w:tcPr>
          <w:p>
            <w:pPr>
              <w:spacing w:after="0" w:line="240" w:lineRule="auto"/>
            </w:pPr>
            <w:r>
              <w:rPr>
                <w:rFonts w:ascii="Aptos" w:hAnsi="Aptos"/>
                <w:color w:val="182638"/>
                <w:sz w:val="14"/>
              </w:rPr>
              <w:t>Temporal validation / future-data isolation</w:t>
            </w:r>
          </w:p>
        </w:tc>
        <w:tc>
          <w:tcPr>
            <w:tcW w:type="dxa" w:w="4320"/>
            <w:tcMar>
              <w:top w:w="75" w:type="dxa"/>
              <w:start w:w="90" w:type="dxa"/>
              <w:bottom w:w="75" w:type="dxa"/>
              <w:end w:w="90" w:type="dxa"/>
            </w:tcMar>
            <w:vAlign w:val="top"/>
            <w:shd w:fill="F4F7F9"/>
          </w:tcPr>
          <w:p>
            <w:pPr>
              <w:spacing w:after="0" w:line="240" w:lineRule="auto"/>
            </w:pPr>
            <w:r>
              <w:rPr>
                <w:rFonts w:ascii="Aptos" w:hAnsi="Aptos"/>
                <w:color w:val="182638"/>
                <w:sz w:val="14"/>
              </w:rPr>
              <w:t>Use chronological splits, archived forecast inputs when available, and frozen event replay. Never use a later observation as an input to an earlier prediction.</w:t>
            </w:r>
          </w:p>
        </w:tc>
        <w:tc>
          <w:tcPr>
            <w:tcW w:type="dxa" w:w="3384"/>
            <w:tcMar>
              <w:top w:w="75" w:type="dxa"/>
              <w:start w:w="90" w:type="dxa"/>
              <w:bottom w:w="75" w:type="dxa"/>
              <w:end w:w="90" w:type="dxa"/>
            </w:tcMar>
            <w:vAlign w:val="top"/>
            <w:shd w:fill="F4F7F9"/>
          </w:tcPr>
          <w:p>
            <w:pPr>
              <w:spacing w:after="0" w:line="240" w:lineRule="auto"/>
            </w:pPr>
            <w:r>
              <w:rPr>
                <w:rFonts w:ascii="Aptos" w:hAnsi="Aptos"/>
                <w:color w:val="182638"/>
                <w:sz w:val="14"/>
              </w:rPr>
              <w:t>Report rainfall errors on a held-out time range. For cascade outcomes lacking ground truth, report scenario stress tests, not real-world accuracy.</w:t>
            </w:r>
          </w:p>
        </w:tc>
      </w:tr>
    </w:tbl>
    <w:p>
      <w:pPr>
        <w:spacing w:before="0" w:after="0" w:line="20" w:lineRule="exact"/>
      </w:pPr>
    </w:p>
    <w:p>
      <w:pPr>
        <w:pStyle w:val="Heading2"/>
        <w:keepNext/>
      </w:pPr>
      <w:r>
        <w:rPr>
          <w:rFonts w:ascii="Aptos" w:hAnsi="Aptos"/>
          <w:b/>
          <w:color w:val="0F9D91"/>
          <w:sz w:val="26"/>
        </w:rPr>
        <w:t>Explicit scope boundaries</w:t>
      </w:r>
    </w:p>
    <w:p>
      <w:pPr>
        <w:pStyle w:val="ListBullet"/>
        <w:spacing w:after="50" w:line="245" w:lineRule="auto"/>
        <w:ind w:left="360" w:hanging="216"/>
      </w:pPr>
      <w:r>
        <w:rPr>
          <w:rFonts w:ascii="Aptos" w:hAnsi="Aptos"/>
          <w:b/>
          <w:color w:val="182638"/>
          <w:sz w:val="18"/>
        </w:rPr>
        <w:t xml:space="preserve">IN SCOPE: </w:t>
      </w:r>
      <w:r>
        <w:rPr>
          <w:rFonts w:ascii="Aptos" w:hAnsi="Aptos"/>
          <w:color w:val="182638"/>
          <w:sz w:val="18"/>
        </w:rPr>
        <w:t>rainfall-driven urban-flood susceptibility; roads and emergency facility reachability; aggregate vulnerable-settlement exposure; limited-resource placement; source reliability; 3D scenario comparison.</w:t>
      </w:r>
    </w:p>
    <w:p>
      <w:pPr>
        <w:pStyle w:val="ListBullet"/>
        <w:spacing w:after="50" w:line="245" w:lineRule="auto"/>
        <w:ind w:left="360" w:hanging="216"/>
      </w:pPr>
      <w:r>
        <w:rPr>
          <w:rFonts w:ascii="Aptos" w:hAnsi="Aptos"/>
          <w:b/>
          <w:color w:val="182638"/>
          <w:sz w:val="18"/>
        </w:rPr>
        <w:t xml:space="preserve">NOT IN MVP: </w:t>
      </w:r>
      <w:r>
        <w:rPr>
          <w:rFonts w:ascii="Aptos" w:hAnsi="Aptos"/>
          <w:color w:val="182638"/>
          <w:sz w:val="18"/>
        </w:rPr>
        <w:t>operational flood depth in centimetres; a fully coupled 1D/2D hydraulic solver; live hospital occupancy; actual street-closure predictions; real electrical/telecom failure forecasts; automated public alerts.</w:t>
      </w:r>
    </w:p>
    <w:p>
      <w:pPr>
        <w:pStyle w:val="ListBullet"/>
        <w:spacing w:after="50" w:line="245" w:lineRule="auto"/>
        <w:ind w:left="360" w:hanging="216"/>
      </w:pPr>
      <w:r>
        <w:rPr>
          <w:rFonts w:ascii="Aptos" w:hAnsi="Aptos"/>
          <w:b/>
          <w:color w:val="182638"/>
          <w:sz w:val="18"/>
        </w:rPr>
        <w:t xml:space="preserve">Stretch only if core works: </w:t>
      </w:r>
      <w:r>
        <w:rPr>
          <w:rFonts w:ascii="Aptos" w:hAnsi="Aptos"/>
          <w:color w:val="182638"/>
          <w:sz w:val="18"/>
        </w:rPr>
        <w:t>a small online drift detector, historical rainfall replay, an evacuation-congestion toggle, and an additional cascade branch if real data is found.</w:t>
      </w:r>
    </w:p>
    <w:p>
      <w:pPr>
        <w:pStyle w:val="Heading1"/>
        <w:keepNext/>
      </w:pPr>
      <w:r>
        <w:rPr>
          <w:rFonts w:ascii="Aptos" w:hAnsi="Aptos"/>
          <w:b/>
          <w:color w:val="142338"/>
          <w:sz w:val="36"/>
        </w:rPr>
        <w:t>2. Concept, impact metric and differentiated novelty</w:t>
      </w:r>
    </w:p>
    <w:p>
      <w:pPr>
        <w:pStyle w:val="Heading2"/>
        <w:keepNext/>
      </w:pPr>
      <w:r>
        <w:rPr>
          <w:rFonts w:ascii="Aptos" w:hAnsi="Aptos"/>
          <w:b/>
          <w:color w:val="0F9D91"/>
          <w:sz w:val="26"/>
        </w:rPr>
        <w:t>2.1 Product concept</w:t>
      </w:r>
    </w:p>
    <w:p>
      <w:pPr>
        <w:spacing w:before="0" w:after="100" w:line="252" w:lineRule="auto"/>
      </w:pPr>
      <w:r>
        <w:rPr>
          <w:rFonts w:ascii="Aptos" w:hAnsi="Aptos"/>
          <w:i w:val="0"/>
        </w:rPr>
        <w:t>Working name: CASCADEx — Forecast-to-Action Urban Cascade Twin. The system starts with a time-varying rainfall forecast and a geographic description of the city. It does not stop at “this polygon is high risk.” It calculates what that hazard could do to the road graph, which emergency facilities become harder to reach, which aggregate populations lose access, and which limited response placement produces the largest estimated improvement.</w:t>
      </w:r>
    </w:p>
    <w:p>
      <w:pPr>
        <w:pStyle w:val="Heading2"/>
        <w:keepNext/>
      </w:pPr>
      <w:r>
        <w:rPr>
          <w:rFonts w:ascii="Aptos" w:hAnsi="Aptos"/>
          <w:b/>
          <w:color w:val="0F9D91"/>
          <w:sz w:val="26"/>
        </w:rPr>
        <w:t>2.2 The single cascade to build</w:t>
      </w:r>
    </w:p>
    <w:p>
      <w:r>
        <w:drawing>
          <wp:inline xmlns:a="http://schemas.openxmlformats.org/drawingml/2006/main" xmlns:pic="http://schemas.openxmlformats.org/drawingml/2006/picture">
            <wp:extent cx="6309360" cy="2083052"/>
            <wp:docPr id="1" name="Picture 1"/>
            <wp:cNvGraphicFramePr>
              <a:graphicFrameLocks noChangeAspect="1"/>
            </wp:cNvGraphicFramePr>
            <a:graphic>
              <a:graphicData uri="http://schemas.openxmlformats.org/drawingml/2006/picture">
                <pic:pic>
                  <pic:nvPicPr>
                    <pic:cNvPr id="0" name="cascade_graph.png"/>
                    <pic:cNvPicPr/>
                  </pic:nvPicPr>
                  <pic:blipFill>
                    <a:blip r:embed="rId11"/>
                    <a:stretch>
                      <a:fillRect/>
                    </a:stretch>
                  </pic:blipFill>
                  <pic:spPr>
                    <a:xfrm>
                      <a:off x="0" y="0"/>
                      <a:ext cx="6309360" cy="2083052"/>
                    </a:xfrm>
                    <a:prstGeom prst="rect"/>
                  </pic:spPr>
                </pic:pic>
              </a:graphicData>
            </a:graphic>
          </wp:inline>
        </w:drawing>
      </w:r>
    </w:p>
    <w:p>
      <w:pPr>
        <w:spacing w:before="0" w:after="100" w:line="252" w:lineRule="auto"/>
      </w:pPr>
      <w:r>
        <w:rPr>
          <w:rFonts w:ascii="Aptos" w:hAnsi="Aptos"/>
          <w:i/>
          <w:color w:val="5C6B78"/>
          <w:sz w:val="17"/>
        </w:rPr>
        <w:t>Use the flood-to-service-access cascade as the core. It is both socially meaningful and implementable from real mapped features. Only rainfall and existing GIS geometry are observed inputs in the minimal pipeline; later stage impacts are computed from model assumptions and graph topology. The UI must label this distinction.</w:t>
      </w:r>
    </w:p>
    <w:p>
      <w:pPr>
        <w:pStyle w:val="Heading2"/>
        <w:keepNext/>
      </w:pPr>
      <w:r>
        <w:rPr>
          <w:rFonts w:ascii="Aptos" w:hAnsi="Aptos"/>
          <w:b/>
          <w:color w:val="0F9D91"/>
          <w:sz w:val="26"/>
        </w:rPr>
        <w:t>2.3 Primary impact metric: retained emergency access</w:t>
      </w:r>
    </w:p>
    <w:p>
      <w:pPr>
        <w:spacing w:before="0" w:after="100" w:line="252" w:lineRule="auto"/>
      </w:pPr>
      <w:r>
        <w:rPr>
          <w:rFonts w:ascii="Aptos" w:hAnsi="Aptos"/>
          <w:i w:val="0"/>
        </w:rPr>
        <w:t>Define a set of aggregate exposure cells or mapped settlement polygons s with population weight P_s. Let A_s(t)=1 if the selected essential service remains reachable in the scenario at horizon t and 0 otherwise; let A_s(0) be baseline reachability. A simple retained-access measure is:</w:t>
      </w:r>
    </w:p>
    <w:tbl>
      <w:tblPr>
        <w:tblW w:type="auto" w:w="0"/>
        <w:jc w:val="center"/>
        <w:tblLayout w:type="fixed"/>
        <w:tblLook w:firstColumn="1" w:firstRow="1" w:lastColumn="0" w:lastRow="0" w:noHBand="0" w:noVBand="1" w:val="04A0"/>
      </w:tblPr>
      <w:tblGrid>
        <w:gridCol w:w="9936"/>
      </w:tblGrid>
      <w:tr>
        <w:tc>
          <w:tcPr>
            <w:tcW w:type="dxa" w:w="10166"/>
            <w:shd w:fill="EAF1F8"/>
            <w:tcMar>
              <w:top w:w="140" w:type="dxa"/>
              <w:start w:w="180" w:type="dxa"/>
              <w:bottom w:w="140" w:type="dxa"/>
              <w:end w:w="180" w:type="dxa"/>
            </w:tcMar>
          </w:tcPr>
          <w:p>
            <w:pPr>
              <w:spacing w:after="80"/>
            </w:pPr>
            <w:r>
              <w:rPr>
                <w:rFonts w:ascii="Aptos" w:hAnsi="Aptos"/>
                <w:b/>
                <w:color w:val="4678B8"/>
                <w:sz w:val="21"/>
              </w:rPr>
              <w:t>METRIC (SCENARIO-BASED)</w:t>
            </w:r>
          </w:p>
          <w:p>
            <w:pPr>
              <w:spacing w:after="0" w:line="252" w:lineRule="auto"/>
            </w:pPr>
            <w:r>
              <w:rPr>
                <w:rFonts w:ascii="Aptos" w:hAnsi="Aptos"/>
                <w:color w:val="182638"/>
                <w:sz w:val="18"/>
              </w:rPr>
              <w:t>Retained access (%) = 100 × Σ_s P_s A_s(t) / Σ_s P_s A_s(0).</w:t>
              <w:br/>
              <w:t>Intervention gain = retained access under intervention − retained access under baseline, expressed in percentage points and aggregate people whose modeled reachability is preserved.</w:t>
            </w:r>
          </w:p>
        </w:tc>
      </w:tr>
    </w:tbl>
    <w:p>
      <w:pPr>
        <w:spacing w:after="0"/>
      </w:pPr>
    </w:p>
    <w:p>
      <w:pPr>
        <w:spacing w:before="0" w:after="100" w:line="252" w:lineRule="auto"/>
      </w:pPr>
      <w:r>
        <w:rPr>
          <w:rFonts w:ascii="Aptos" w:hAnsi="Aptos"/>
          <w:i w:val="0"/>
        </w:rPr>
        <w:t>Use the same metric before and after intervention. To avoid overstating the outcome, show both the percentage-point change and aggregate population estimate, state the service threshold (for example, modelled reachability within a configurable network-cost threshold), and label the metric “modelled reachability,” not casualties avoided or lives saved. Road travel times require assumed speeds unless actual speed data is supplied; show the assumption.</w:t>
      </w:r>
    </w:p>
    <w:p>
      <w:pPr>
        <w:pStyle w:val="Heading2"/>
        <w:keepNext/>
      </w:pPr>
      <w:r>
        <w:rPr>
          <w:rFonts w:ascii="Aptos" w:hAnsi="Aptos"/>
          <w:b/>
          <w:color w:val="0F9D91"/>
          <w:sz w:val="26"/>
        </w:rPr>
        <w:t>2.4 Strong novelty candidates</w:t>
      </w:r>
    </w:p>
    <w:tbl>
      <w:tblPr>
        <w:tblW w:type="auto" w:w="0"/>
        <w:jc w:val="center"/>
        <w:tblLayout w:type="fixed"/>
        <w:tblLook w:firstColumn="1" w:firstRow="1" w:lastColumn="0" w:lastRow="0" w:noHBand="0" w:noVBand="1" w:val="04A0"/>
      </w:tblPr>
      <w:tblGrid>
        <w:gridCol w:w="2232"/>
        <w:gridCol w:w="4680"/>
        <w:gridCol w:w="3168"/>
      </w:tblGrid>
      <w:tr>
        <w:trPr>
          <w:tblHeader w:val="true"/>
        </w:trPr>
        <w:tc>
          <w:tcPr>
            <w:tcW w:type="dxa" w:w="3389"/>
            <w:shd w:fill="142338"/>
            <w:tcMar>
              <w:top w:w="85" w:type="dxa"/>
              <w:start w:w="90" w:type="dxa"/>
              <w:bottom w:w="85" w:type="dxa"/>
              <w:end w:w="90" w:type="dxa"/>
            </w:tcMar>
            <w:vAlign w:val="center"/>
          </w:tcPr>
          <w:p>
            <w:pPr>
              <w:spacing w:after="0"/>
            </w:pPr>
            <w:r>
              <w:rPr>
                <w:rFonts w:ascii="Aptos" w:hAnsi="Aptos"/>
                <w:b/>
                <w:color w:val="FFFFFF"/>
                <w:sz w:val="15"/>
              </w:rPr>
              <w:t>Novelty</w:t>
            </w:r>
          </w:p>
        </w:tc>
        <w:tc>
          <w:tcPr>
            <w:tcW w:type="dxa" w:w="3389"/>
            <w:shd w:fill="142338"/>
            <w:tcMar>
              <w:top w:w="85" w:type="dxa"/>
              <w:start w:w="90" w:type="dxa"/>
              <w:bottom w:w="85" w:type="dxa"/>
              <w:end w:w="90" w:type="dxa"/>
            </w:tcMar>
            <w:vAlign w:val="center"/>
          </w:tcPr>
          <w:p>
            <w:pPr>
              <w:spacing w:after="0"/>
            </w:pPr>
            <w:r>
              <w:rPr>
                <w:rFonts w:ascii="Aptos" w:hAnsi="Aptos"/>
                <w:b/>
                <w:color w:val="FFFFFF"/>
                <w:sz w:val="15"/>
              </w:rPr>
              <w:t>Why it is meaningfully different</w:t>
            </w:r>
          </w:p>
        </w:tc>
        <w:tc>
          <w:tcPr>
            <w:tcW w:type="dxa" w:w="3389"/>
            <w:shd w:fill="142338"/>
            <w:tcMar>
              <w:top w:w="85" w:type="dxa"/>
              <w:start w:w="90" w:type="dxa"/>
              <w:bottom w:w="85" w:type="dxa"/>
              <w:end w:w="90" w:type="dxa"/>
            </w:tcMar>
            <w:vAlign w:val="center"/>
          </w:tcPr>
          <w:p>
            <w:pPr>
              <w:spacing w:after="0"/>
            </w:pPr>
            <w:r>
              <w:rPr>
                <w:rFonts w:ascii="Aptos" w:hAnsi="Aptos"/>
                <w:b/>
                <w:color w:val="FFFFFF"/>
                <w:sz w:val="15"/>
              </w:rPr>
              <w:t>24-hour implementation</w:t>
            </w:r>
          </w:p>
        </w:tc>
      </w:tr>
      <w:tr>
        <w:tc>
          <w:tcPr>
            <w:tcW w:type="dxa" w:w="2232"/>
            <w:tcMar>
              <w:top w:w="75" w:type="dxa"/>
              <w:start w:w="90" w:type="dxa"/>
              <w:bottom w:w="75" w:type="dxa"/>
              <w:end w:w="90" w:type="dxa"/>
            </w:tcMar>
            <w:vAlign w:val="top"/>
          </w:tcPr>
          <w:p>
            <w:pPr>
              <w:spacing w:after="0" w:line="240" w:lineRule="auto"/>
            </w:pPr>
            <w:r>
              <w:rPr>
                <w:rFonts w:ascii="Aptos" w:hAnsi="Aptos"/>
                <w:color w:val="182638"/>
                <w:sz w:val="15"/>
              </w:rPr>
              <w:t>N1. Impact-first cascade graph</w:t>
            </w:r>
          </w:p>
        </w:tc>
        <w:tc>
          <w:tcPr>
            <w:tcW w:type="dxa" w:w="4680"/>
            <w:tcMar>
              <w:top w:w="75" w:type="dxa"/>
              <w:start w:w="90" w:type="dxa"/>
              <w:bottom w:w="75" w:type="dxa"/>
              <w:end w:w="90" w:type="dxa"/>
            </w:tcMar>
            <w:vAlign w:val="top"/>
          </w:tcPr>
          <w:p>
            <w:pPr>
              <w:spacing w:after="0" w:line="240" w:lineRule="auto"/>
            </w:pPr>
            <w:r>
              <w:rPr>
                <w:rFonts w:ascii="Aptos" w:hAnsi="Aptos"/>
                <w:color w:val="182638"/>
                <w:sz w:val="15"/>
              </w:rPr>
              <w:t>Most weak demos colour a map. This traces a hazard through roads and service reachability to an impact metric.</w:t>
            </w:r>
          </w:p>
        </w:tc>
        <w:tc>
          <w:tcPr>
            <w:tcW w:type="dxa" w:w="3168"/>
            <w:tcMar>
              <w:top w:w="75" w:type="dxa"/>
              <w:start w:w="90" w:type="dxa"/>
              <w:bottom w:w="75" w:type="dxa"/>
              <w:end w:w="90" w:type="dxa"/>
            </w:tcMar>
            <w:vAlign w:val="top"/>
          </w:tcPr>
          <w:p>
            <w:pPr>
              <w:spacing w:after="0" w:line="240" w:lineRule="auto"/>
            </w:pPr>
            <w:r>
              <w:rPr>
                <w:rFonts w:ascii="Aptos" w:hAnsi="Aptos"/>
                <w:color w:val="182638"/>
                <w:sz w:val="15"/>
              </w:rPr>
              <w:t>CORE: NetworkX/JavaScript graph + shortest-path recomputation.</w:t>
            </w:r>
          </w:p>
        </w:tc>
      </w:tr>
      <w:tr>
        <w:tc>
          <w:tcPr>
            <w:tcW w:type="dxa" w:w="2232"/>
            <w:tcMar>
              <w:top w:w="75" w:type="dxa"/>
              <w:start w:w="90" w:type="dxa"/>
              <w:bottom w:w="75" w:type="dxa"/>
              <w:end w:w="90" w:type="dxa"/>
            </w:tcMar>
            <w:vAlign w:val="top"/>
            <w:shd w:fill="F4F7F9"/>
          </w:tcPr>
          <w:p>
            <w:pPr>
              <w:spacing w:after="0" w:line="240" w:lineRule="auto"/>
            </w:pPr>
            <w:r>
              <w:rPr>
                <w:rFonts w:ascii="Aptos" w:hAnsi="Aptos"/>
                <w:color w:val="182638"/>
                <w:sz w:val="15"/>
              </w:rPr>
              <w:t>N2. Counterfactual intervention optimiser</w:t>
            </w:r>
          </w:p>
        </w:tc>
        <w:tc>
          <w:tcPr>
            <w:tcW w:type="dxa" w:w="4680"/>
            <w:tcMar>
              <w:top w:w="75" w:type="dxa"/>
              <w:start w:w="90" w:type="dxa"/>
              <w:bottom w:w="75" w:type="dxa"/>
              <w:end w:w="90" w:type="dxa"/>
            </w:tcMar>
            <w:vAlign w:val="top"/>
            <w:shd w:fill="F4F7F9"/>
          </w:tcPr>
          <w:p>
            <w:pPr>
              <w:spacing w:after="0" w:line="240" w:lineRule="auto"/>
            </w:pPr>
            <w:r>
              <w:rPr>
                <w:rFonts w:ascii="Aptos" w:hAnsi="Aptos"/>
                <w:color w:val="182638"/>
                <w:sz w:val="15"/>
              </w:rPr>
              <w:t>The system does not only recommend “send help”; it compares candidate staging points under a resource budget.</w:t>
            </w:r>
          </w:p>
        </w:tc>
        <w:tc>
          <w:tcPr>
            <w:tcW w:type="dxa" w:w="3168"/>
            <w:tcMar>
              <w:top w:w="75" w:type="dxa"/>
              <w:start w:w="90" w:type="dxa"/>
              <w:bottom w:w="75" w:type="dxa"/>
              <w:end w:w="90" w:type="dxa"/>
            </w:tcMar>
            <w:vAlign w:val="top"/>
            <w:shd w:fill="F4F7F9"/>
          </w:tcPr>
          <w:p>
            <w:pPr>
              <w:spacing w:after="0" w:line="240" w:lineRule="auto"/>
            </w:pPr>
            <w:r>
              <w:rPr>
                <w:rFonts w:ascii="Aptos" w:hAnsi="Aptos"/>
                <w:color w:val="182638"/>
                <w:sz w:val="15"/>
              </w:rPr>
              <w:t>CORE: greedy marginal-benefit selection over a small candidate set.</w:t>
            </w:r>
          </w:p>
        </w:tc>
      </w:tr>
      <w:tr>
        <w:tc>
          <w:tcPr>
            <w:tcW w:type="dxa" w:w="2232"/>
            <w:tcMar>
              <w:top w:w="75" w:type="dxa"/>
              <w:start w:w="90" w:type="dxa"/>
              <w:bottom w:w="75" w:type="dxa"/>
              <w:end w:w="90" w:type="dxa"/>
            </w:tcMar>
            <w:vAlign w:val="top"/>
          </w:tcPr>
          <w:p>
            <w:pPr>
              <w:spacing w:after="0" w:line="240" w:lineRule="auto"/>
            </w:pPr>
            <w:r>
              <w:rPr>
                <w:rFonts w:ascii="Aptos" w:hAnsi="Aptos"/>
                <w:color w:val="182638"/>
                <w:sz w:val="15"/>
              </w:rPr>
              <w:t>N3. Confidence that follows the evidence</w:t>
            </w:r>
          </w:p>
        </w:tc>
        <w:tc>
          <w:tcPr>
            <w:tcW w:type="dxa" w:w="4680"/>
            <w:tcMar>
              <w:top w:w="75" w:type="dxa"/>
              <w:start w:w="90" w:type="dxa"/>
              <w:bottom w:w="75" w:type="dxa"/>
              <w:end w:w="90" w:type="dxa"/>
            </w:tcMar>
            <w:vAlign w:val="top"/>
          </w:tcPr>
          <w:p>
            <w:pPr>
              <w:spacing w:after="0" w:line="240" w:lineRule="auto"/>
            </w:pPr>
            <w:r>
              <w:rPr>
                <w:rFonts w:ascii="Aptos" w:hAnsi="Aptos"/>
                <w:color w:val="182638"/>
                <w:sz w:val="15"/>
              </w:rPr>
              <w:t>Missing feeds, stale snapshots and correlated sensor outages change the confidence display, rather than silently becoming zero risk.</w:t>
            </w:r>
          </w:p>
        </w:tc>
        <w:tc>
          <w:tcPr>
            <w:tcW w:type="dxa" w:w="3168"/>
            <w:tcMar>
              <w:top w:w="75" w:type="dxa"/>
              <w:start w:w="90" w:type="dxa"/>
              <w:bottom w:w="75" w:type="dxa"/>
              <w:end w:w="90" w:type="dxa"/>
            </w:tcMar>
            <w:vAlign w:val="top"/>
          </w:tcPr>
          <w:p>
            <w:pPr>
              <w:spacing w:after="0" w:line="240" w:lineRule="auto"/>
            </w:pPr>
            <w:r>
              <w:rPr>
                <w:rFonts w:ascii="Aptos" w:hAnsi="Aptos"/>
                <w:color w:val="182638"/>
                <w:sz w:val="15"/>
              </w:rPr>
              <w:t>CORE: source registry, freshness/completeness flags, outage tests.</w:t>
            </w:r>
          </w:p>
        </w:tc>
      </w:tr>
      <w:tr>
        <w:tc>
          <w:tcPr>
            <w:tcW w:type="dxa" w:w="2232"/>
            <w:tcMar>
              <w:top w:w="75" w:type="dxa"/>
              <w:start w:w="90" w:type="dxa"/>
              <w:bottom w:w="75" w:type="dxa"/>
              <w:end w:w="90" w:type="dxa"/>
            </w:tcMar>
            <w:vAlign w:val="top"/>
            <w:shd w:fill="F4F7F9"/>
          </w:tcPr>
          <w:p>
            <w:pPr>
              <w:spacing w:after="0" w:line="240" w:lineRule="auto"/>
            </w:pPr>
            <w:r>
              <w:rPr>
                <w:rFonts w:ascii="Aptos" w:hAnsi="Aptos"/>
                <w:color w:val="182638"/>
                <w:sz w:val="15"/>
              </w:rPr>
              <w:t>N4. Replayable causal receipt</w:t>
            </w:r>
          </w:p>
        </w:tc>
        <w:tc>
          <w:tcPr>
            <w:tcW w:type="dxa" w:w="4680"/>
            <w:tcMar>
              <w:top w:w="75" w:type="dxa"/>
              <w:start w:w="90" w:type="dxa"/>
              <w:bottom w:w="75" w:type="dxa"/>
              <w:end w:w="90" w:type="dxa"/>
            </w:tcMar>
            <w:vAlign w:val="top"/>
            <w:shd w:fill="F4F7F9"/>
          </w:tcPr>
          <w:p>
            <w:pPr>
              <w:spacing w:after="0" w:line="240" w:lineRule="auto"/>
            </w:pPr>
            <w:r>
              <w:rPr>
                <w:rFonts w:ascii="Aptos" w:hAnsi="Aptos"/>
                <w:color w:val="182638"/>
                <w:sz w:val="15"/>
              </w:rPr>
              <w:t>Every map change can be inspected as input → rule → affected graph edges → impact delta, with provenance and timestamps.</w:t>
            </w:r>
          </w:p>
        </w:tc>
        <w:tc>
          <w:tcPr>
            <w:tcW w:type="dxa" w:w="3168"/>
            <w:tcMar>
              <w:top w:w="75" w:type="dxa"/>
              <w:start w:w="90" w:type="dxa"/>
              <w:bottom w:w="75" w:type="dxa"/>
              <w:end w:w="90" w:type="dxa"/>
            </w:tcMar>
            <w:vAlign w:val="top"/>
            <w:shd w:fill="F4F7F9"/>
          </w:tcPr>
          <w:p>
            <w:pPr>
              <w:spacing w:after="0" w:line="240" w:lineRule="auto"/>
            </w:pPr>
            <w:r>
              <w:rPr>
                <w:rFonts w:ascii="Aptos" w:hAnsi="Aptos"/>
                <w:color w:val="182638"/>
                <w:sz w:val="15"/>
              </w:rPr>
              <w:t>CORE: JSON evidence log with a clickable cascade trace.</w:t>
            </w:r>
          </w:p>
        </w:tc>
      </w:tr>
      <w:tr>
        <w:tc>
          <w:tcPr>
            <w:tcW w:type="dxa" w:w="2232"/>
            <w:tcMar>
              <w:top w:w="75" w:type="dxa"/>
              <w:start w:w="90" w:type="dxa"/>
              <w:bottom w:w="75" w:type="dxa"/>
              <w:end w:w="90" w:type="dxa"/>
            </w:tcMar>
            <w:vAlign w:val="top"/>
          </w:tcPr>
          <w:p>
            <w:pPr>
              <w:spacing w:after="0" w:line="240" w:lineRule="auto"/>
            </w:pPr>
            <w:r>
              <w:rPr>
                <w:rFonts w:ascii="Aptos" w:hAnsi="Aptos"/>
                <w:color w:val="182638"/>
                <w:sz w:val="15"/>
              </w:rPr>
              <w:t>N5. 3D temporal cascade ribbon</w:t>
            </w:r>
          </w:p>
        </w:tc>
        <w:tc>
          <w:tcPr>
            <w:tcW w:type="dxa" w:w="4680"/>
            <w:tcMar>
              <w:top w:w="75" w:type="dxa"/>
              <w:start w:w="90" w:type="dxa"/>
              <w:bottom w:w="75" w:type="dxa"/>
              <w:end w:w="90" w:type="dxa"/>
            </w:tcMar>
            <w:vAlign w:val="top"/>
          </w:tcPr>
          <w:p>
            <w:pPr>
              <w:spacing w:after="0" w:line="240" w:lineRule="auto"/>
            </w:pPr>
            <w:r>
              <w:rPr>
                <w:rFonts w:ascii="Aptos" w:hAnsi="Aptos"/>
                <w:color w:val="182638"/>
                <w:sz w:val="15"/>
              </w:rPr>
              <w:t>The interface shows the predicted failure sequence moving through time and geography, not a static 3D city.</w:t>
            </w:r>
          </w:p>
        </w:tc>
        <w:tc>
          <w:tcPr>
            <w:tcW w:type="dxa" w:w="3168"/>
            <w:tcMar>
              <w:top w:w="75" w:type="dxa"/>
              <w:start w:w="90" w:type="dxa"/>
              <w:bottom w:w="75" w:type="dxa"/>
              <w:end w:w="90" w:type="dxa"/>
            </w:tcMar>
            <w:vAlign w:val="top"/>
          </w:tcPr>
          <w:p>
            <w:pPr>
              <w:spacing w:after="0" w:line="240" w:lineRule="auto"/>
            </w:pPr>
            <w:r>
              <w:rPr>
                <w:rFonts w:ascii="Aptos" w:hAnsi="Aptos"/>
                <w:color w:val="182638"/>
                <w:sz w:val="15"/>
              </w:rPr>
              <w:t>CORE: MapLibre time slider + highlighted paths + selected-zone side panel.</w:t>
            </w:r>
          </w:p>
        </w:tc>
      </w:tr>
      <w:tr>
        <w:tc>
          <w:tcPr>
            <w:tcW w:type="dxa" w:w="2232"/>
            <w:tcMar>
              <w:top w:w="75" w:type="dxa"/>
              <w:start w:w="90" w:type="dxa"/>
              <w:bottom w:w="75" w:type="dxa"/>
              <w:end w:w="90" w:type="dxa"/>
            </w:tcMar>
            <w:vAlign w:val="top"/>
            <w:shd w:fill="F4F7F9"/>
          </w:tcPr>
          <w:p>
            <w:pPr>
              <w:spacing w:after="0" w:line="240" w:lineRule="auto"/>
            </w:pPr>
            <w:r>
              <w:rPr>
                <w:rFonts w:ascii="Aptos" w:hAnsi="Aptos"/>
                <w:color w:val="182638"/>
                <w:sz w:val="15"/>
              </w:rPr>
              <w:t>N6. Side-effect-aware action comparison</w:t>
            </w:r>
          </w:p>
        </w:tc>
        <w:tc>
          <w:tcPr>
            <w:tcW w:type="dxa" w:w="4680"/>
            <w:tcMar>
              <w:top w:w="75" w:type="dxa"/>
              <w:start w:w="90" w:type="dxa"/>
              <w:bottom w:w="75" w:type="dxa"/>
              <w:end w:w="90" w:type="dxa"/>
            </w:tcMar>
            <w:vAlign w:val="top"/>
            <w:shd w:fill="F4F7F9"/>
          </w:tcPr>
          <w:p>
            <w:pPr>
              <w:spacing w:after="0" w:line="240" w:lineRule="auto"/>
            </w:pPr>
            <w:r>
              <w:rPr>
                <w:rFonts w:ascii="Aptos" w:hAnsi="Aptos"/>
                <w:color w:val="182638"/>
                <w:sz w:val="15"/>
              </w:rPr>
              <w:t>An evacuation/traffic stress toggle can show how a helpful action may worsen congestion on a constrained route.</w:t>
            </w:r>
          </w:p>
        </w:tc>
        <w:tc>
          <w:tcPr>
            <w:tcW w:type="dxa" w:w="3168"/>
            <w:tcMar>
              <w:top w:w="75" w:type="dxa"/>
              <w:start w:w="90" w:type="dxa"/>
              <w:bottom w:w="75" w:type="dxa"/>
              <w:end w:w="90" w:type="dxa"/>
            </w:tcMar>
            <w:vAlign w:val="top"/>
            <w:shd w:fill="F4F7F9"/>
          </w:tcPr>
          <w:p>
            <w:pPr>
              <w:spacing w:after="0" w:line="240" w:lineRule="auto"/>
            </w:pPr>
            <w:r>
              <w:rPr>
                <w:rFonts w:ascii="Aptos" w:hAnsi="Aptos"/>
                <w:color w:val="182638"/>
                <w:sz w:val="15"/>
              </w:rPr>
              <w:t>STRETCH: apply a configurable penalty to selected edges; label it as assumed.</w:t>
            </w:r>
          </w:p>
        </w:tc>
      </w:tr>
    </w:tbl>
    <w:p>
      <w:pPr>
        <w:spacing w:before="0" w:after="0" w:line="20" w:lineRule="exact"/>
      </w:pPr>
    </w:p>
    <w:tbl>
      <w:tblPr>
        <w:tblW w:type="auto" w:w="0"/>
        <w:jc w:val="center"/>
        <w:tblLayout w:type="fixed"/>
        <w:tblLook w:firstColumn="1" w:firstRow="1" w:lastColumn="0" w:lastRow="0" w:noHBand="0" w:noVBand="1" w:val="04A0"/>
      </w:tblPr>
      <w:tblGrid>
        <w:gridCol w:w="9936"/>
      </w:tblGrid>
      <w:tr>
        <w:tc>
          <w:tcPr>
            <w:tcW w:type="dxa" w:w="10166"/>
            <w:shd w:fill="FFF4E1"/>
            <w:tcMar>
              <w:top w:w="140" w:type="dxa"/>
              <w:start w:w="180" w:type="dxa"/>
              <w:bottom w:w="140" w:type="dxa"/>
              <w:end w:w="180" w:type="dxa"/>
            </w:tcMar>
          </w:tcPr>
          <w:p>
            <w:pPr>
              <w:spacing w:after="80"/>
            </w:pPr>
            <w:r>
              <w:rPr>
                <w:rFonts w:ascii="Aptos" w:hAnsi="Aptos"/>
                <w:b/>
                <w:color w:val="E6A23C"/>
                <w:sz w:val="21"/>
              </w:rPr>
              <w:t>NOVELTY CLAIM TO USE</w:t>
            </w:r>
          </w:p>
          <w:p>
            <w:pPr>
              <w:spacing w:after="0" w:line="252" w:lineRule="auto"/>
            </w:pPr>
            <w:r>
              <w:rPr>
                <w:rFonts w:ascii="Aptos" w:hAnsi="Aptos"/>
                <w:color w:val="182638"/>
                <w:sz w:val="18"/>
              </w:rPr>
              <w:t>“An evidence-traceable, uncertainty-aware urban cascade twin that optimizes preventive response placement for emergency-service access under a forecast rainfall scenario.” Avoid claiming to be the first digital twin or a physically accurate flood simulator. The novelty is the integration, measurable decision objective and transparent uncertainty.</w:t>
            </w:r>
          </w:p>
        </w:tc>
      </w:tr>
    </w:tbl>
    <w:p>
      <w:pPr>
        <w:spacing w:after="0"/>
      </w:pPr>
    </w:p>
    <w:p>
      <w:r>
        <w:br w:type="page"/>
      </w:r>
    </w:p>
    <w:p>
      <w:pPr>
        <w:pStyle w:val="Heading1"/>
        <w:keepNext/>
      </w:pPr>
      <w:r>
        <w:rPr>
          <w:rFonts w:ascii="Aptos" w:hAnsi="Aptos"/>
          <w:b/>
          <w:color w:val="142338"/>
          <w:sz w:val="36"/>
        </w:rPr>
        <w:t>3. Data-source audit: what exists and what it can support</w:t>
      </w:r>
    </w:p>
    <w:p>
      <w:pPr>
        <w:spacing w:before="0" w:after="100" w:line="252" w:lineRule="auto"/>
      </w:pPr>
      <w:r>
        <w:rPr>
          <w:rFonts w:ascii="Aptos" w:hAnsi="Aptos"/>
          <w:i w:val="0"/>
        </w:rPr>
        <w:t>The most important finding is that there are several real data silos, but no single public dataset joins rainfall, drainage capacity, street-level flood depth, road closure time series, hospital occupancy and cascade labels. The prototype should fuse available datasets without claiming that the missing fields exist.</w:t>
      </w:r>
    </w:p>
    <w:p>
      <w:pPr>
        <w:pStyle w:val="Heading2"/>
        <w:keepNext/>
      </w:pPr>
      <w:r>
        <w:rPr>
          <w:rFonts w:ascii="Aptos" w:hAnsi="Aptos"/>
          <w:b/>
          <w:color w:val="0F9D91"/>
          <w:sz w:val="26"/>
        </w:rPr>
        <w:t>3.1 Priority-0 sources</w:t>
      </w:r>
    </w:p>
    <w:tbl>
      <w:tblPr>
        <w:tblW w:type="auto" w:w="0"/>
        <w:jc w:val="center"/>
        <w:tblLayout w:type="fixed"/>
        <w:tblLook w:firstColumn="1" w:firstRow="1" w:lastColumn="0" w:lastRow="0" w:noHBand="0" w:noVBand="1" w:val="04A0"/>
      </w:tblPr>
      <w:tblGrid>
        <w:gridCol w:w="1843"/>
        <w:gridCol w:w="3528"/>
        <w:gridCol w:w="2232"/>
        <w:gridCol w:w="2477"/>
      </w:tblGrid>
      <w:tr>
        <w:trPr>
          <w:tblHeader w:val="true"/>
        </w:trPr>
        <w:tc>
          <w:tcPr>
            <w:tcW w:type="dxa" w:w="2541"/>
            <w:shd w:fill="142338"/>
            <w:tcMar>
              <w:top w:w="85" w:type="dxa"/>
              <w:start w:w="90" w:type="dxa"/>
              <w:bottom w:w="85" w:type="dxa"/>
              <w:end w:w="90" w:type="dxa"/>
            </w:tcMar>
            <w:vAlign w:val="center"/>
          </w:tcPr>
          <w:p>
            <w:pPr>
              <w:spacing w:after="0"/>
            </w:pPr>
            <w:r>
              <w:rPr>
                <w:rFonts w:ascii="Aptos" w:hAnsi="Aptos"/>
                <w:b/>
                <w:color w:val="FFFFFF"/>
                <w:sz w:val="13"/>
              </w:rPr>
              <w:t>Source</w:t>
            </w:r>
          </w:p>
        </w:tc>
        <w:tc>
          <w:tcPr>
            <w:tcW w:type="dxa" w:w="2541"/>
            <w:shd w:fill="142338"/>
            <w:tcMar>
              <w:top w:w="85" w:type="dxa"/>
              <w:start w:w="90" w:type="dxa"/>
              <w:bottom w:w="85" w:type="dxa"/>
              <w:end w:w="90" w:type="dxa"/>
            </w:tcMar>
            <w:vAlign w:val="center"/>
          </w:tcPr>
          <w:p>
            <w:pPr>
              <w:spacing w:after="0"/>
            </w:pPr>
            <w:r>
              <w:rPr>
                <w:rFonts w:ascii="Aptos" w:hAnsi="Aptos"/>
                <w:b/>
                <w:color w:val="FFFFFF"/>
                <w:sz w:val="13"/>
              </w:rPr>
              <w:t>Verified contents / format</w:t>
            </w:r>
          </w:p>
        </w:tc>
        <w:tc>
          <w:tcPr>
            <w:tcW w:type="dxa" w:w="2541"/>
            <w:shd w:fill="142338"/>
            <w:tcMar>
              <w:top w:w="85" w:type="dxa"/>
              <w:start w:w="90" w:type="dxa"/>
              <w:bottom w:w="85" w:type="dxa"/>
              <w:end w:w="90" w:type="dxa"/>
            </w:tcMar>
            <w:vAlign w:val="center"/>
          </w:tcPr>
          <w:p>
            <w:pPr>
              <w:spacing w:after="0"/>
            </w:pPr>
            <w:r>
              <w:rPr>
                <w:rFonts w:ascii="Aptos" w:hAnsi="Aptos"/>
                <w:b/>
                <w:color w:val="FFFFFF"/>
                <w:sz w:val="13"/>
              </w:rPr>
              <w:t>Use</w:t>
            </w:r>
          </w:p>
        </w:tc>
        <w:tc>
          <w:tcPr>
            <w:tcW w:type="dxa" w:w="2541"/>
            <w:shd w:fill="142338"/>
            <w:tcMar>
              <w:top w:w="85" w:type="dxa"/>
              <w:start w:w="90" w:type="dxa"/>
              <w:bottom w:w="85" w:type="dxa"/>
              <w:end w:w="90" w:type="dxa"/>
            </w:tcMar>
            <w:vAlign w:val="center"/>
          </w:tcPr>
          <w:p>
            <w:pPr>
              <w:spacing w:after="0"/>
            </w:pPr>
            <w:r>
              <w:rPr>
                <w:rFonts w:ascii="Aptos" w:hAnsi="Aptos"/>
                <w:b/>
                <w:color w:val="FFFFFF"/>
                <w:sz w:val="13"/>
              </w:rPr>
              <w:t>Access status / caveat</w:t>
            </w:r>
          </w:p>
        </w:tc>
      </w:tr>
      <w:tr>
        <w:tc>
          <w:tcPr>
            <w:tcW w:type="dxa" w:w="1843"/>
            <w:tcMar>
              <w:top w:w="75" w:type="dxa"/>
              <w:start w:w="90" w:type="dxa"/>
              <w:bottom w:w="75" w:type="dxa"/>
              <w:end w:w="90" w:type="dxa"/>
            </w:tcMar>
            <w:vAlign w:val="top"/>
          </w:tcPr>
          <w:p>
            <w:pPr>
              <w:spacing w:after="0" w:line="240" w:lineRule="auto"/>
            </w:pPr>
            <w:r>
              <w:rPr>
                <w:rFonts w:ascii="Aptos" w:hAnsi="Aptos"/>
                <w:color w:val="182638"/>
                <w:sz w:val="13"/>
              </w:rPr>
              <w:t>MCGM Disaster Management GIS [R2-R3]</w:t>
            </w:r>
          </w:p>
        </w:tc>
        <w:tc>
          <w:tcPr>
            <w:tcW w:type="dxa" w:w="3528"/>
            <w:tcMar>
              <w:top w:w="75" w:type="dxa"/>
              <w:start w:w="90" w:type="dxa"/>
              <w:bottom w:w="75" w:type="dxa"/>
              <w:end w:w="90" w:type="dxa"/>
            </w:tcMar>
            <w:vAlign w:val="top"/>
          </w:tcPr>
          <w:p>
            <w:pPr>
              <w:spacing w:after="0" w:line="240" w:lineRule="auto"/>
            </w:pPr>
            <w:r>
              <w:rPr>
                <w:rFonts w:ascii="Aptos" w:hAnsi="Aptos"/>
                <w:color w:val="182638"/>
                <w:sz w:val="13"/>
              </w:rPr>
              <w:t>ArcGIS REST MapServer metadata advertises GeoJSON/JSON. Named layers include Flooding Spots (layer ID 344), Flow Level Sensor (345), Vulnerable Settlements (346), Hospitals (214), Temporary Shelters (232), Fire Stations (213), Mumbai Contour (217), Wards (237). The WGS service also lists road/utility/building layers including Centerline (287), Roadedge (285), Building (283), Hydro Line (286), SWD/Water (293), Landuse (281), Contour_20CM (301).</w:t>
            </w:r>
          </w:p>
        </w:tc>
        <w:tc>
          <w:tcPr>
            <w:tcW w:type="dxa" w:w="2232"/>
            <w:tcMar>
              <w:top w:w="75" w:type="dxa"/>
              <w:start w:w="90" w:type="dxa"/>
              <w:bottom w:w="75" w:type="dxa"/>
              <w:end w:w="90" w:type="dxa"/>
            </w:tcMar>
            <w:vAlign w:val="top"/>
          </w:tcPr>
          <w:p>
            <w:pPr>
              <w:spacing w:after="0" w:line="240" w:lineRule="auto"/>
            </w:pPr>
            <w:r>
              <w:rPr>
                <w:rFonts w:ascii="Aptos" w:hAnsi="Aptos"/>
                <w:color w:val="182638"/>
                <w:sz w:val="13"/>
              </w:rPr>
              <w:t>The core local urban asset graph: flood hotspots, road links, facilities, settlement polygons, contour/drainage context.</w:t>
            </w:r>
          </w:p>
        </w:tc>
        <w:tc>
          <w:tcPr>
            <w:tcW w:type="dxa" w:w="2477"/>
            <w:tcMar>
              <w:top w:w="75" w:type="dxa"/>
              <w:start w:w="90" w:type="dxa"/>
              <w:bottom w:w="75" w:type="dxa"/>
              <w:end w:w="90" w:type="dxa"/>
            </w:tcMar>
            <w:vAlign w:val="top"/>
          </w:tcPr>
          <w:p>
            <w:pPr>
              <w:spacing w:after="0" w:line="240" w:lineRule="auto"/>
            </w:pPr>
            <w:r>
              <w:rPr>
                <w:rFonts w:ascii="Aptos" w:hAnsi="Aptos"/>
                <w:color w:val="182638"/>
                <w:sz w:val="13"/>
              </w:rPr>
              <w:t>Metadata is indexed and query format is documented, but the actual layer query timed out during this research session. Metadata reports a 1,000-record maximum for feature layers and source spatial reference EPSG:32643; transform/check the output CRS and batch large downloads by object IDs if pagination is unsupported. Must test export before committing. “Flow Level Sensor” metadata confirms sensor locations, not a live feed of readings. Layer ID 344 is an identifier, not a count of spots.</w:t>
            </w:r>
          </w:p>
        </w:tc>
      </w:tr>
      <w:tr>
        <w:tc>
          <w:tcPr>
            <w:tcW w:type="dxa" w:w="1843"/>
            <w:tcMar>
              <w:top w:w="75" w:type="dxa"/>
              <w:start w:w="90" w:type="dxa"/>
              <w:bottom w:w="75" w:type="dxa"/>
              <w:end w:w="90" w:type="dxa"/>
            </w:tcMar>
            <w:vAlign w:val="top"/>
            <w:shd w:fill="F4F7F9"/>
          </w:tcPr>
          <w:p>
            <w:pPr>
              <w:spacing w:after="0" w:line="240" w:lineRule="auto"/>
            </w:pPr>
            <w:r>
              <w:rPr>
                <w:rFonts w:ascii="Aptos" w:hAnsi="Aptos"/>
                <w:color w:val="182638"/>
                <w:sz w:val="13"/>
              </w:rPr>
              <w:t>Mumbai Rainfall Forecasting repo [R4]</w:t>
            </w:r>
          </w:p>
        </w:tc>
        <w:tc>
          <w:tcPr>
            <w:tcW w:type="dxa" w:w="3528"/>
            <w:tcMar>
              <w:top w:w="75" w:type="dxa"/>
              <w:start w:w="90" w:type="dxa"/>
              <w:bottom w:w="75" w:type="dxa"/>
              <w:end w:w="90" w:type="dxa"/>
            </w:tcMar>
            <w:vAlign w:val="top"/>
            <w:shd w:fill="F4F7F9"/>
          </w:tcPr>
          <w:p>
            <w:pPr>
              <w:spacing w:after="0" w:line="240" w:lineRule="auto"/>
            </w:pPr>
            <w:r>
              <w:rPr>
                <w:rFonts w:ascii="Aptos" w:hAnsi="Aptos"/>
                <w:color w:val="182638"/>
                <w:sz w:val="13"/>
              </w:rPr>
              <w:t>README reports 37 automatic weather stations, 15-minute data for 2015–2022; combined file reported as 93,695 rows × 111 features (rainfall + windspeed + GFS forecast features). `final_data.zip`, station coordinates and model code are listed. Repo license file is MIT.</w:t>
            </w:r>
          </w:p>
        </w:tc>
        <w:tc>
          <w:tcPr>
            <w:tcW w:type="dxa" w:w="2232"/>
            <w:tcMar>
              <w:top w:w="75" w:type="dxa"/>
              <w:start w:w="90" w:type="dxa"/>
              <w:bottom w:w="75" w:type="dxa"/>
              <w:end w:w="90" w:type="dxa"/>
            </w:tcMar>
            <w:vAlign w:val="top"/>
            <w:shd w:fill="F4F7F9"/>
          </w:tcPr>
          <w:p>
            <w:pPr>
              <w:spacing w:after="0" w:line="240" w:lineRule="auto"/>
            </w:pPr>
            <w:r>
              <w:rPr>
                <w:rFonts w:ascii="Aptos" w:hAnsi="Aptos"/>
                <w:color w:val="182638"/>
                <w:sz w:val="13"/>
              </w:rPr>
              <w:t>Real local rain observations; audit the provided rainfall baseline; train/compare a compact 0–3h rainfall model if time permits.</w:t>
            </w:r>
          </w:p>
        </w:tc>
        <w:tc>
          <w:tcPr>
            <w:tcW w:type="dxa" w:w="2477"/>
            <w:tcMar>
              <w:top w:w="75" w:type="dxa"/>
              <w:start w:w="90" w:type="dxa"/>
              <w:bottom w:w="75" w:type="dxa"/>
              <w:end w:w="90" w:type="dxa"/>
            </w:tcMar>
            <w:vAlign w:val="top"/>
            <w:shd w:fill="F4F7F9"/>
          </w:tcPr>
          <w:p>
            <w:pPr>
              <w:spacing w:after="0" w:line="240" w:lineRule="auto"/>
            </w:pPr>
            <w:r>
              <w:rPr>
                <w:rFonts w:ascii="Aptos" w:hAnsi="Aptos"/>
                <w:color w:val="182638"/>
                <w:sz w:val="13"/>
              </w:rPr>
              <w:t>The repo README is verified; the binary dataset itself was not downloaded/quality-audited by this research session. Review original data rights separately from the code license. Audit GFS feature timestamps for leakage before training.</w:t>
            </w:r>
          </w:p>
        </w:tc>
      </w:tr>
      <w:tr>
        <w:tc>
          <w:tcPr>
            <w:tcW w:type="dxa" w:w="1843"/>
            <w:tcMar>
              <w:top w:w="75" w:type="dxa"/>
              <w:start w:w="90" w:type="dxa"/>
              <w:bottom w:w="75" w:type="dxa"/>
              <w:end w:w="90" w:type="dxa"/>
            </w:tcMar>
            <w:vAlign w:val="top"/>
          </w:tcPr>
          <w:p>
            <w:pPr>
              <w:spacing w:after="0" w:line="240" w:lineRule="auto"/>
            </w:pPr>
            <w:r>
              <w:rPr>
                <w:rFonts w:ascii="Aptos" w:hAnsi="Aptos"/>
                <w:color w:val="182638"/>
                <w:sz w:val="13"/>
              </w:rPr>
              <w:t>Open-Meteo Forecast API [R9-R10]</w:t>
            </w:r>
          </w:p>
        </w:tc>
        <w:tc>
          <w:tcPr>
            <w:tcW w:type="dxa" w:w="3528"/>
            <w:tcMar>
              <w:top w:w="75" w:type="dxa"/>
              <w:start w:w="90" w:type="dxa"/>
              <w:bottom w:w="75" w:type="dxa"/>
              <w:end w:w="90" w:type="dxa"/>
            </w:tcMar>
            <w:vAlign w:val="top"/>
          </w:tcPr>
          <w:p>
            <w:pPr>
              <w:spacing w:after="0" w:line="240" w:lineRule="auto"/>
            </w:pPr>
            <w:r>
              <w:rPr>
                <w:rFonts w:ascii="Aptos" w:hAnsi="Aptos"/>
                <w:color w:val="182638"/>
                <w:sz w:val="13"/>
              </w:rPr>
              <w:t>Hourly precipitation forecast, up to 16 days according to its public docs; JSON API, no API key for the non-commercial free API. Forecast models differ in spatial resolution.</w:t>
            </w:r>
          </w:p>
        </w:tc>
        <w:tc>
          <w:tcPr>
            <w:tcW w:type="dxa" w:w="2232"/>
            <w:tcMar>
              <w:top w:w="75" w:type="dxa"/>
              <w:start w:w="90" w:type="dxa"/>
              <w:bottom w:w="75" w:type="dxa"/>
              <w:end w:w="90" w:type="dxa"/>
            </w:tcMar>
            <w:vAlign w:val="top"/>
          </w:tcPr>
          <w:p>
            <w:pPr>
              <w:spacing w:after="0" w:line="240" w:lineRule="auto"/>
            </w:pPr>
            <w:r>
              <w:rPr>
                <w:rFonts w:ascii="Aptos" w:hAnsi="Aptos"/>
                <w:color w:val="182638"/>
                <w:sz w:val="13"/>
              </w:rPr>
              <w:t>The 72-hour rainfall forcing for the scenario engine and a fallback if local observations are unavailable.</w:t>
            </w:r>
          </w:p>
        </w:tc>
        <w:tc>
          <w:tcPr>
            <w:tcW w:type="dxa" w:w="2477"/>
            <w:tcMar>
              <w:top w:w="75" w:type="dxa"/>
              <w:start w:w="90" w:type="dxa"/>
              <w:bottom w:w="75" w:type="dxa"/>
              <w:end w:w="90" w:type="dxa"/>
            </w:tcMar>
            <w:vAlign w:val="top"/>
          </w:tcPr>
          <w:p>
            <w:pPr>
              <w:spacing w:after="0" w:line="240" w:lineRule="auto"/>
            </w:pPr>
            <w:r>
              <w:rPr>
                <w:rFonts w:ascii="Aptos" w:hAnsi="Aptos"/>
                <w:color w:val="182638"/>
                <w:sz w:val="13"/>
              </w:rPr>
              <w:t>Forecast grid is not street-level rainfall or flood depth. Free API limit is &lt;10,000 calls/day, 5,000/hour, 600/minute; non-commercial use and CC BY 4.0 attribution apply. Cache responses before the offline hackathon.</w:t>
            </w:r>
          </w:p>
        </w:tc>
      </w:tr>
      <w:tr>
        <w:tc>
          <w:tcPr>
            <w:tcW w:type="dxa" w:w="1843"/>
            <w:tcMar>
              <w:top w:w="75" w:type="dxa"/>
              <w:start w:w="90" w:type="dxa"/>
              <w:bottom w:w="75" w:type="dxa"/>
              <w:end w:w="90" w:type="dxa"/>
            </w:tcMar>
            <w:vAlign w:val="top"/>
            <w:shd w:fill="F4F7F9"/>
          </w:tcPr>
          <w:p>
            <w:pPr>
              <w:spacing w:after="0" w:line="240" w:lineRule="auto"/>
            </w:pPr>
            <w:r>
              <w:rPr>
                <w:rFonts w:ascii="Aptos" w:hAnsi="Aptos"/>
                <w:color w:val="182638"/>
                <w:sz w:val="13"/>
              </w:rPr>
              <w:t>Open-Meteo Historical Forecast API [R11]</w:t>
            </w:r>
          </w:p>
        </w:tc>
        <w:tc>
          <w:tcPr>
            <w:tcW w:type="dxa" w:w="3528"/>
            <w:tcMar>
              <w:top w:w="75" w:type="dxa"/>
              <w:start w:w="90" w:type="dxa"/>
              <w:bottom w:w="75" w:type="dxa"/>
              <w:end w:w="90" w:type="dxa"/>
            </w:tcMar>
            <w:vAlign w:val="top"/>
            <w:shd w:fill="F4F7F9"/>
          </w:tcPr>
          <w:p>
            <w:pPr>
              <w:spacing w:after="0" w:line="240" w:lineRule="auto"/>
            </w:pPr>
            <w:r>
              <w:rPr>
                <w:rFonts w:ascii="Aptos" w:hAnsi="Aptos"/>
                <w:color w:val="182638"/>
                <w:sz w:val="13"/>
              </w:rPr>
              <w:t>Archived forecast runs are available from around 2021/2022 onward; same general forecast-variable format.</w:t>
            </w:r>
          </w:p>
        </w:tc>
        <w:tc>
          <w:tcPr>
            <w:tcW w:type="dxa" w:w="2232"/>
            <w:tcMar>
              <w:top w:w="75" w:type="dxa"/>
              <w:start w:w="90" w:type="dxa"/>
              <w:bottom w:w="75" w:type="dxa"/>
              <w:end w:w="90" w:type="dxa"/>
            </w:tcMar>
            <w:vAlign w:val="top"/>
            <w:shd w:fill="F4F7F9"/>
          </w:tcPr>
          <w:p>
            <w:pPr>
              <w:spacing w:after="0" w:line="240" w:lineRule="auto"/>
            </w:pPr>
            <w:r>
              <w:rPr>
                <w:rFonts w:ascii="Aptos" w:hAnsi="Aptos"/>
                <w:color w:val="182638"/>
                <w:sz w:val="13"/>
              </w:rPr>
              <w:t>Best route to time-correct retrospective weather-forecast inputs for lead-time testing without substituting later observed weather for a forecast.</w:t>
            </w:r>
          </w:p>
        </w:tc>
        <w:tc>
          <w:tcPr>
            <w:tcW w:type="dxa" w:w="2477"/>
            <w:tcMar>
              <w:top w:w="75" w:type="dxa"/>
              <w:start w:w="90" w:type="dxa"/>
              <w:bottom w:w="75" w:type="dxa"/>
              <w:end w:w="90" w:type="dxa"/>
            </w:tcMar>
            <w:vAlign w:val="top"/>
            <w:shd w:fill="F4F7F9"/>
          </w:tcPr>
          <w:p>
            <w:pPr>
              <w:spacing w:after="0" w:line="240" w:lineRule="auto"/>
            </w:pPr>
            <w:r>
              <w:rPr>
                <w:rFonts w:ascii="Aptos" w:hAnsi="Aptos"/>
                <w:color w:val="182638"/>
                <w:sz w:val="13"/>
              </w:rPr>
              <w:t>Coverage depends on model/location. Verify Mumbai coverage and the exact historic forecast run/initialization semantics before making it a scored benchmark.</w:t>
            </w:r>
          </w:p>
        </w:tc>
      </w:tr>
      <w:tr>
        <w:tc>
          <w:tcPr>
            <w:tcW w:type="dxa" w:w="1843"/>
            <w:tcMar>
              <w:top w:w="75" w:type="dxa"/>
              <w:start w:w="90" w:type="dxa"/>
              <w:bottom w:w="75" w:type="dxa"/>
              <w:end w:w="90" w:type="dxa"/>
            </w:tcMar>
            <w:vAlign w:val="top"/>
          </w:tcPr>
          <w:p>
            <w:pPr>
              <w:spacing w:after="0" w:line="240" w:lineRule="auto"/>
            </w:pPr>
            <w:r>
              <w:rPr>
                <w:rFonts w:ascii="Aptos" w:hAnsi="Aptos"/>
                <w:color w:val="182638"/>
                <w:sz w:val="13"/>
              </w:rPr>
              <w:t>GHSL population/built-up data [R16]</w:t>
            </w:r>
          </w:p>
        </w:tc>
        <w:tc>
          <w:tcPr>
            <w:tcW w:type="dxa" w:w="3528"/>
            <w:tcMar>
              <w:top w:w="75" w:type="dxa"/>
              <w:start w:w="90" w:type="dxa"/>
              <w:bottom w:w="75" w:type="dxa"/>
              <w:end w:w="90" w:type="dxa"/>
            </w:tcMar>
            <w:vAlign w:val="top"/>
          </w:tcPr>
          <w:p>
            <w:pPr>
              <w:spacing w:after="0" w:line="240" w:lineRule="auto"/>
            </w:pPr>
            <w:r>
              <w:rPr>
                <w:rFonts w:ascii="Aptos" w:hAnsi="Aptos"/>
                <w:color w:val="182638"/>
                <w:sz w:val="13"/>
              </w:rPr>
              <w:t>European Commission provides open gridded resident population, built-up surface/volume and settlement data with historical epochs and projections.</w:t>
            </w:r>
          </w:p>
        </w:tc>
        <w:tc>
          <w:tcPr>
            <w:tcW w:type="dxa" w:w="2232"/>
            <w:tcMar>
              <w:top w:w="75" w:type="dxa"/>
              <w:start w:w="90" w:type="dxa"/>
              <w:bottom w:w="75" w:type="dxa"/>
              <w:end w:w="90" w:type="dxa"/>
            </w:tcMar>
            <w:vAlign w:val="top"/>
          </w:tcPr>
          <w:p>
            <w:pPr>
              <w:spacing w:after="0" w:line="240" w:lineRule="auto"/>
            </w:pPr>
            <w:r>
              <w:rPr>
                <w:rFonts w:ascii="Aptos" w:hAnsi="Aptos"/>
                <w:color w:val="182638"/>
                <w:sz w:val="13"/>
              </w:rPr>
              <w:t>Aggregate exposure weights and built-up context without tracking individual residents.</w:t>
            </w:r>
          </w:p>
        </w:tc>
        <w:tc>
          <w:tcPr>
            <w:tcW w:type="dxa" w:w="2477"/>
            <w:tcMar>
              <w:top w:w="75" w:type="dxa"/>
              <w:start w:w="90" w:type="dxa"/>
              <w:bottom w:w="75" w:type="dxa"/>
              <w:end w:w="90" w:type="dxa"/>
            </w:tcMar>
            <w:vAlign w:val="top"/>
          </w:tcPr>
          <w:p>
            <w:pPr>
              <w:spacing w:after="0" w:line="240" w:lineRule="auto"/>
            </w:pPr>
            <w:r>
              <w:rPr>
                <w:rFonts w:ascii="Aptos" w:hAnsi="Aptos"/>
                <w:color w:val="182638"/>
                <w:sz w:val="13"/>
              </w:rPr>
              <w:t>Choose a product/resolution appropriate to the AOI; clip locally. Do not mix population years without documenting the epoch.</w:t>
            </w:r>
          </w:p>
        </w:tc>
      </w:tr>
      <w:tr>
        <w:tc>
          <w:tcPr>
            <w:tcW w:type="dxa" w:w="1843"/>
            <w:tcMar>
              <w:top w:w="75" w:type="dxa"/>
              <w:start w:w="90" w:type="dxa"/>
              <w:bottom w:w="75" w:type="dxa"/>
              <w:end w:w="90" w:type="dxa"/>
            </w:tcMar>
            <w:vAlign w:val="top"/>
            <w:shd w:fill="F4F7F9"/>
          </w:tcPr>
          <w:p>
            <w:pPr>
              <w:spacing w:after="0" w:line="240" w:lineRule="auto"/>
            </w:pPr>
            <w:r>
              <w:rPr>
                <w:rFonts w:ascii="Aptos" w:hAnsi="Aptos"/>
                <w:color w:val="182638"/>
                <w:sz w:val="13"/>
              </w:rPr>
              <w:t>OpenStreetMap [R17-R18, R34]</w:t>
            </w:r>
          </w:p>
        </w:tc>
        <w:tc>
          <w:tcPr>
            <w:tcW w:type="dxa" w:w="3528"/>
            <w:tcMar>
              <w:top w:w="75" w:type="dxa"/>
              <w:start w:w="90" w:type="dxa"/>
              <w:bottom w:w="75" w:type="dxa"/>
              <w:end w:w="90" w:type="dxa"/>
            </w:tcMar>
            <w:vAlign w:val="top"/>
            <w:shd w:fill="F4F7F9"/>
          </w:tcPr>
          <w:p>
            <w:pPr>
              <w:spacing w:after="0" w:line="240" w:lineRule="auto"/>
            </w:pPr>
            <w:r>
              <w:rPr>
                <w:rFonts w:ascii="Aptos" w:hAnsi="Aptos"/>
                <w:color w:val="182638"/>
                <w:sz w:val="13"/>
              </w:rPr>
              <w:t>Road network and tagged POIs/amenities; OSMnx can create a road graph from a place/boundary.</w:t>
            </w:r>
          </w:p>
        </w:tc>
        <w:tc>
          <w:tcPr>
            <w:tcW w:type="dxa" w:w="2232"/>
            <w:tcMar>
              <w:top w:w="75" w:type="dxa"/>
              <w:start w:w="90" w:type="dxa"/>
              <w:bottom w:w="75" w:type="dxa"/>
              <w:end w:w="90" w:type="dxa"/>
            </w:tcMar>
            <w:vAlign w:val="top"/>
            <w:shd w:fill="F4F7F9"/>
          </w:tcPr>
          <w:p>
            <w:pPr>
              <w:spacing w:after="0" w:line="240" w:lineRule="auto"/>
            </w:pPr>
            <w:r>
              <w:rPr>
                <w:rFonts w:ascii="Aptos" w:hAnsi="Aptos"/>
                <w:color w:val="182638"/>
                <w:sz w:val="13"/>
              </w:rPr>
              <w:t>Road fallback, service locations and local geometry if MCGM queries fail.</w:t>
            </w:r>
          </w:p>
        </w:tc>
        <w:tc>
          <w:tcPr>
            <w:tcW w:type="dxa" w:w="2477"/>
            <w:tcMar>
              <w:top w:w="75" w:type="dxa"/>
              <w:start w:w="90" w:type="dxa"/>
              <w:bottom w:w="75" w:type="dxa"/>
              <w:end w:w="90" w:type="dxa"/>
            </w:tcMar>
            <w:vAlign w:val="top"/>
            <w:shd w:fill="F4F7F9"/>
          </w:tcPr>
          <w:p>
            <w:pPr>
              <w:spacing w:after="0" w:line="240" w:lineRule="auto"/>
            </w:pPr>
            <w:r>
              <w:rPr>
                <w:rFonts w:ascii="Aptos" w:hAnsi="Aptos"/>
                <w:color w:val="182638"/>
                <w:sz w:val="13"/>
              </w:rPr>
              <w:t>Coverage/tag quality varies. Public Overpass servers can be overloaded and have fair-use limits; pre-download, cache and attribute OSM/ODbL. Do not make a live query essential at demo time.</w:t>
            </w:r>
          </w:p>
        </w:tc>
      </w:tr>
    </w:tbl>
    <w:p>
      <w:pPr>
        <w:spacing w:before="0" w:after="0" w:line="20" w:lineRule="exact"/>
      </w:pPr>
    </w:p>
    <w:p>
      <w:pPr>
        <w:pStyle w:val="Heading2"/>
        <w:keepNext/>
        <w:pageBreakBefore/>
      </w:pPr>
      <w:r>
        <w:rPr>
          <w:rFonts w:ascii="Aptos" w:hAnsi="Aptos"/>
          <w:b/>
          <w:color w:val="0F9D91"/>
          <w:sz w:val="26"/>
        </w:rPr>
        <w:t>3.2 Priority-1 sources: valuable but conditional</w:t>
      </w:r>
    </w:p>
    <w:tbl>
      <w:tblPr>
        <w:tblW w:type="auto" w:w="0"/>
        <w:jc w:val="center"/>
        <w:tblLayout w:type="fixed"/>
        <w:tblLook w:firstColumn="1" w:firstRow="1" w:lastColumn="0" w:lastRow="0" w:noHBand="0" w:noVBand="1" w:val="04A0"/>
      </w:tblPr>
      <w:tblGrid>
        <w:gridCol w:w="1944"/>
        <w:gridCol w:w="3096"/>
        <w:gridCol w:w="2376"/>
        <w:gridCol w:w="2664"/>
      </w:tblGrid>
      <w:tr>
        <w:trPr>
          <w:tblHeader w:val="true"/>
        </w:trPr>
        <w:tc>
          <w:tcPr>
            <w:tcW w:type="dxa" w:w="2541"/>
            <w:shd w:fill="142338"/>
            <w:tcMar>
              <w:top w:w="85" w:type="dxa"/>
              <w:start w:w="90" w:type="dxa"/>
              <w:bottom w:w="85" w:type="dxa"/>
              <w:end w:w="90" w:type="dxa"/>
            </w:tcMar>
            <w:vAlign w:val="center"/>
          </w:tcPr>
          <w:p>
            <w:pPr>
              <w:spacing w:after="0"/>
            </w:pPr>
            <w:r>
              <w:rPr>
                <w:rFonts w:ascii="Aptos" w:hAnsi="Aptos"/>
                <w:b/>
                <w:color w:val="FFFFFF"/>
                <w:sz w:val="14"/>
              </w:rPr>
              <w:t>Source</w:t>
            </w:r>
          </w:p>
        </w:tc>
        <w:tc>
          <w:tcPr>
            <w:tcW w:type="dxa" w:w="2541"/>
            <w:shd w:fill="142338"/>
            <w:tcMar>
              <w:top w:w="85" w:type="dxa"/>
              <w:start w:w="90" w:type="dxa"/>
              <w:bottom w:w="85" w:type="dxa"/>
              <w:end w:w="90" w:type="dxa"/>
            </w:tcMar>
            <w:vAlign w:val="center"/>
          </w:tcPr>
          <w:p>
            <w:pPr>
              <w:spacing w:after="0"/>
            </w:pPr>
            <w:r>
              <w:rPr>
                <w:rFonts w:ascii="Aptos" w:hAnsi="Aptos"/>
                <w:b/>
                <w:color w:val="FFFFFF"/>
                <w:sz w:val="14"/>
              </w:rPr>
              <w:t>What the portal says</w:t>
            </w:r>
          </w:p>
        </w:tc>
        <w:tc>
          <w:tcPr>
            <w:tcW w:type="dxa" w:w="2541"/>
            <w:shd w:fill="142338"/>
            <w:tcMar>
              <w:top w:w="85" w:type="dxa"/>
              <w:start w:w="90" w:type="dxa"/>
              <w:bottom w:w="85" w:type="dxa"/>
              <w:end w:w="90" w:type="dxa"/>
            </w:tcMar>
            <w:vAlign w:val="center"/>
          </w:tcPr>
          <w:p>
            <w:pPr>
              <w:spacing w:after="0"/>
            </w:pPr>
            <w:r>
              <w:rPr>
                <w:rFonts w:ascii="Aptos" w:hAnsi="Aptos"/>
                <w:b/>
                <w:color w:val="FFFFFF"/>
                <w:sz w:val="14"/>
              </w:rPr>
              <w:t>Good use</w:t>
            </w:r>
          </w:p>
        </w:tc>
        <w:tc>
          <w:tcPr>
            <w:tcW w:type="dxa" w:w="2541"/>
            <w:shd w:fill="142338"/>
            <w:tcMar>
              <w:top w:w="85" w:type="dxa"/>
              <w:start w:w="90" w:type="dxa"/>
              <w:bottom w:w="85" w:type="dxa"/>
              <w:end w:w="90" w:type="dxa"/>
            </w:tcMar>
            <w:vAlign w:val="center"/>
          </w:tcPr>
          <w:p>
            <w:pPr>
              <w:spacing w:after="0"/>
            </w:pPr>
            <w:r>
              <w:rPr>
                <w:rFonts w:ascii="Aptos" w:hAnsi="Aptos"/>
                <w:b/>
                <w:color w:val="FFFFFF"/>
                <w:sz w:val="14"/>
              </w:rPr>
              <w:t>Why not make it a single point of failure</w:t>
            </w:r>
          </w:p>
        </w:tc>
      </w:tr>
      <w:tr>
        <w:tc>
          <w:tcPr>
            <w:tcW w:type="dxa" w:w="1944"/>
            <w:tcMar>
              <w:top w:w="75" w:type="dxa"/>
              <w:start w:w="90" w:type="dxa"/>
              <w:bottom w:w="75" w:type="dxa"/>
              <w:end w:w="90" w:type="dxa"/>
            </w:tcMar>
            <w:vAlign w:val="top"/>
          </w:tcPr>
          <w:p>
            <w:pPr>
              <w:spacing w:after="0" w:line="240" w:lineRule="auto"/>
            </w:pPr>
            <w:r>
              <w:rPr>
                <w:rFonts w:ascii="Aptos" w:hAnsi="Aptos"/>
                <w:color w:val="182638"/>
                <w:sz w:val="14"/>
              </w:rPr>
              <w:t>National Water Data Portal — Maharashtra Surface Water [R6]</w:t>
            </w:r>
          </w:p>
        </w:tc>
        <w:tc>
          <w:tcPr>
            <w:tcW w:type="dxa" w:w="3096"/>
            <w:tcMar>
              <w:top w:w="75" w:type="dxa"/>
              <w:start w:w="90" w:type="dxa"/>
              <w:bottom w:w="75" w:type="dxa"/>
              <w:end w:w="90" w:type="dxa"/>
            </w:tcMar>
            <w:vAlign w:val="top"/>
          </w:tcPr>
          <w:p>
            <w:pPr>
              <w:spacing w:after="0" w:line="240" w:lineRule="auto"/>
            </w:pPr>
            <w:r>
              <w:rPr>
                <w:rFonts w:ascii="Aptos" w:hAnsi="Aptos"/>
                <w:color w:val="182638"/>
                <w:sz w:val="14"/>
              </w:rPr>
              <w:t>Hourly telemetry rainfall resources listed for Maharashtra SW: 1991–2020, 2021–2025 and 2026–2030, CSV/API formats.</w:t>
            </w:r>
          </w:p>
        </w:tc>
        <w:tc>
          <w:tcPr>
            <w:tcW w:type="dxa" w:w="2376"/>
            <w:tcMar>
              <w:top w:w="75" w:type="dxa"/>
              <w:start w:w="90" w:type="dxa"/>
              <w:bottom w:w="75" w:type="dxa"/>
              <w:end w:w="90" w:type="dxa"/>
            </w:tcMar>
            <w:vAlign w:val="top"/>
          </w:tcPr>
          <w:p>
            <w:pPr>
              <w:spacing w:after="0" w:line="240" w:lineRule="auto"/>
            </w:pPr>
            <w:r>
              <w:rPr>
                <w:rFonts w:ascii="Aptos" w:hAnsi="Aptos"/>
                <w:color w:val="182638"/>
                <w:sz w:val="14"/>
              </w:rPr>
              <w:t>Long historical rainfall baseline; candidate for station-based context if station metadata covers Mumbai or its relevant catchment.</w:t>
            </w:r>
          </w:p>
        </w:tc>
        <w:tc>
          <w:tcPr>
            <w:tcW w:type="dxa" w:w="2664"/>
            <w:tcMar>
              <w:top w:w="75" w:type="dxa"/>
              <w:start w:w="90" w:type="dxa"/>
              <w:bottom w:w="75" w:type="dxa"/>
              <w:end w:w="90" w:type="dxa"/>
            </w:tcMar>
            <w:vAlign w:val="top"/>
          </w:tcPr>
          <w:p>
            <w:pPr>
              <w:spacing w:after="0" w:line="240" w:lineRule="auto"/>
            </w:pPr>
            <w:r>
              <w:rPr>
                <w:rFonts w:ascii="Aptos" w:hAnsi="Aptos"/>
                <w:color w:val="182638"/>
                <w:sz w:val="14"/>
              </w:rPr>
              <w:t>The geographic hierarchy/station coordinates must be checked first. The portal exposes download links, but resource download timed out in this research browser.</w:t>
            </w:r>
          </w:p>
        </w:tc>
      </w:tr>
      <w:tr>
        <w:tc>
          <w:tcPr>
            <w:tcW w:type="dxa" w:w="1944"/>
            <w:tcMar>
              <w:top w:w="75" w:type="dxa"/>
              <w:start w:w="90" w:type="dxa"/>
              <w:bottom w:w="75" w:type="dxa"/>
              <w:end w:w="90" w:type="dxa"/>
            </w:tcMar>
            <w:vAlign w:val="top"/>
            <w:shd w:fill="F4F7F9"/>
          </w:tcPr>
          <w:p>
            <w:pPr>
              <w:spacing w:after="0" w:line="240" w:lineRule="auto"/>
            </w:pPr>
            <w:r>
              <w:rPr>
                <w:rFonts w:ascii="Aptos" w:hAnsi="Aptos"/>
                <w:color w:val="182638"/>
                <w:sz w:val="14"/>
              </w:rPr>
              <w:t>National Water Data Portal — CWPRS [R5]</w:t>
            </w:r>
          </w:p>
        </w:tc>
        <w:tc>
          <w:tcPr>
            <w:tcW w:type="dxa" w:w="3096"/>
            <w:tcMar>
              <w:top w:w="75" w:type="dxa"/>
              <w:start w:w="90" w:type="dxa"/>
              <w:bottom w:w="75" w:type="dxa"/>
              <w:end w:w="90" w:type="dxa"/>
            </w:tcMar>
            <w:vAlign w:val="top"/>
            <w:shd w:fill="F4F7F9"/>
          </w:tcPr>
          <w:p>
            <w:pPr>
              <w:spacing w:after="0" w:line="240" w:lineRule="auto"/>
            </w:pPr>
            <w:r>
              <w:rPr>
                <w:rFonts w:ascii="Aptos" w:hAnsi="Aptos"/>
                <w:color w:val="182638"/>
                <w:sz w:val="14"/>
              </w:rPr>
              <w:t>Hourly rainfall telemetry for Maharashtra; listed periods 2021–2025 and 2026–2030, CSV/API.</w:t>
            </w:r>
          </w:p>
        </w:tc>
        <w:tc>
          <w:tcPr>
            <w:tcW w:type="dxa" w:w="2376"/>
            <w:tcMar>
              <w:top w:w="75" w:type="dxa"/>
              <w:start w:w="90" w:type="dxa"/>
              <w:bottom w:w="75" w:type="dxa"/>
              <w:end w:w="90" w:type="dxa"/>
            </w:tcMar>
            <w:vAlign w:val="top"/>
            <w:shd w:fill="F4F7F9"/>
          </w:tcPr>
          <w:p>
            <w:pPr>
              <w:spacing w:after="0" w:line="240" w:lineRule="auto"/>
            </w:pPr>
            <w:r>
              <w:rPr>
                <w:rFonts w:ascii="Aptos" w:hAnsi="Aptos"/>
                <w:color w:val="182638"/>
                <w:sz w:val="14"/>
              </w:rPr>
              <w:t>Independent rainfall source and cross-check against the Mumbai-specific GitHub dataset.</w:t>
            </w:r>
          </w:p>
        </w:tc>
        <w:tc>
          <w:tcPr>
            <w:tcW w:type="dxa" w:w="2664"/>
            <w:tcMar>
              <w:top w:w="75" w:type="dxa"/>
              <w:start w:w="90" w:type="dxa"/>
              <w:bottom w:w="75" w:type="dxa"/>
              <w:end w:w="90" w:type="dxa"/>
            </w:tcMar>
            <w:vAlign w:val="top"/>
            <w:shd w:fill="F4F7F9"/>
          </w:tcPr>
          <w:p>
            <w:pPr>
              <w:spacing w:after="0" w:line="240" w:lineRule="auto"/>
            </w:pPr>
            <w:r>
              <w:rPr>
                <w:rFonts w:ascii="Aptos" w:hAnsi="Aptos"/>
                <w:color w:val="182638"/>
                <w:sz w:val="14"/>
              </w:rPr>
              <w:t>Not all Maharashtra stations will be inside Mumbai. Validate station names/coordinates and time completeness before using.</w:t>
            </w:r>
          </w:p>
        </w:tc>
      </w:tr>
      <w:tr>
        <w:tc>
          <w:tcPr>
            <w:tcW w:type="dxa" w:w="1944"/>
            <w:tcMar>
              <w:top w:w="75" w:type="dxa"/>
              <w:start w:w="90" w:type="dxa"/>
              <w:bottom w:w="75" w:type="dxa"/>
              <w:end w:w="90" w:type="dxa"/>
            </w:tcMar>
            <w:vAlign w:val="top"/>
          </w:tcPr>
          <w:p>
            <w:pPr>
              <w:spacing w:after="0" w:line="240" w:lineRule="auto"/>
            </w:pPr>
            <w:r>
              <w:rPr>
                <w:rFonts w:ascii="Aptos" w:hAnsi="Aptos"/>
                <w:color w:val="182638"/>
                <w:sz w:val="14"/>
              </w:rPr>
              <w:t>National Water Data Portal — CWC [R7]</w:t>
            </w:r>
          </w:p>
        </w:tc>
        <w:tc>
          <w:tcPr>
            <w:tcW w:type="dxa" w:w="3096"/>
            <w:tcMar>
              <w:top w:w="75" w:type="dxa"/>
              <w:start w:w="90" w:type="dxa"/>
              <w:bottom w:w="75" w:type="dxa"/>
              <w:end w:w="90" w:type="dxa"/>
            </w:tcMar>
            <w:vAlign w:val="top"/>
          </w:tcPr>
          <w:p>
            <w:pPr>
              <w:spacing w:after="0" w:line="240" w:lineRule="auto"/>
            </w:pPr>
            <w:r>
              <w:rPr>
                <w:rFonts w:ascii="Aptos" w:hAnsi="Aptos"/>
                <w:color w:val="182638"/>
                <w:sz w:val="14"/>
              </w:rPr>
              <w:t>CWC hourly telemetry rainfall resources listed for Maharashtra and other states, including 2021–2025 and a 1991–2020 series.</w:t>
            </w:r>
          </w:p>
        </w:tc>
        <w:tc>
          <w:tcPr>
            <w:tcW w:type="dxa" w:w="2376"/>
            <w:tcMar>
              <w:top w:w="75" w:type="dxa"/>
              <w:start w:w="90" w:type="dxa"/>
              <w:bottom w:w="75" w:type="dxa"/>
              <w:end w:w="90" w:type="dxa"/>
            </w:tcMar>
            <w:vAlign w:val="top"/>
          </w:tcPr>
          <w:p>
            <w:pPr>
              <w:spacing w:after="0" w:line="240" w:lineRule="auto"/>
            </w:pPr>
            <w:r>
              <w:rPr>
                <w:rFonts w:ascii="Aptos" w:hAnsi="Aptos"/>
                <w:color w:val="182638"/>
                <w:sz w:val="14"/>
              </w:rPr>
              <w:t>Hydrological context and source-comparison where stations are in the selected region.</w:t>
            </w:r>
          </w:p>
        </w:tc>
        <w:tc>
          <w:tcPr>
            <w:tcW w:type="dxa" w:w="2664"/>
            <w:tcMar>
              <w:top w:w="75" w:type="dxa"/>
              <w:start w:w="90" w:type="dxa"/>
              <w:bottom w:w="75" w:type="dxa"/>
              <w:end w:w="90" w:type="dxa"/>
            </w:tcMar>
            <w:vAlign w:val="top"/>
          </w:tcPr>
          <w:p>
            <w:pPr>
              <w:spacing w:after="0" w:line="240" w:lineRule="auto"/>
            </w:pPr>
            <w:r>
              <w:rPr>
                <w:rFonts w:ascii="Aptos" w:hAnsi="Aptos"/>
                <w:color w:val="182638"/>
                <w:sz w:val="14"/>
              </w:rPr>
              <w:t>Station coverage may be river-basin-oriented rather than urban-street-oriented. Only use after geographic filtering.</w:t>
            </w:r>
          </w:p>
        </w:tc>
      </w:tr>
      <w:tr>
        <w:tc>
          <w:tcPr>
            <w:tcW w:type="dxa" w:w="1944"/>
            <w:tcMar>
              <w:top w:w="75" w:type="dxa"/>
              <w:start w:w="90" w:type="dxa"/>
              <w:bottom w:w="75" w:type="dxa"/>
              <w:end w:w="90" w:type="dxa"/>
            </w:tcMar>
            <w:vAlign w:val="top"/>
            <w:shd w:fill="F4F7F9"/>
          </w:tcPr>
          <w:p>
            <w:pPr>
              <w:spacing w:after="0" w:line="240" w:lineRule="auto"/>
            </w:pPr>
            <w:r>
              <w:rPr>
                <w:rFonts w:ascii="Aptos" w:hAnsi="Aptos"/>
                <w:color w:val="182638"/>
                <w:sz w:val="14"/>
              </w:rPr>
              <w:t>IMD APIs [R8-R9]</w:t>
            </w:r>
          </w:p>
        </w:tc>
        <w:tc>
          <w:tcPr>
            <w:tcW w:type="dxa" w:w="3096"/>
            <w:tcMar>
              <w:top w:w="75" w:type="dxa"/>
              <w:start w:w="90" w:type="dxa"/>
              <w:bottom w:w="75" w:type="dxa"/>
              <w:end w:w="90" w:type="dxa"/>
            </w:tcMar>
            <w:vAlign w:val="top"/>
            <w:shd w:fill="F4F7F9"/>
          </w:tcPr>
          <w:p>
            <w:pPr>
              <w:spacing w:after="0" w:line="240" w:lineRule="auto"/>
            </w:pPr>
            <w:r>
              <w:rPr>
                <w:rFonts w:ascii="Aptos" w:hAnsi="Aptos"/>
                <w:color w:val="182638"/>
                <w:sz w:val="14"/>
              </w:rPr>
              <w:t>Official reference lists city forecasts, lat/lon forecasts, district forecasts/nowcasts, station nowcasts, AWS/ARG, warning APIs, rainfall summaries and river-basin QPF.</w:t>
            </w:r>
          </w:p>
        </w:tc>
        <w:tc>
          <w:tcPr>
            <w:tcW w:type="dxa" w:w="2376"/>
            <w:tcMar>
              <w:top w:w="75" w:type="dxa"/>
              <w:start w:w="90" w:type="dxa"/>
              <w:bottom w:w="75" w:type="dxa"/>
              <w:end w:w="90" w:type="dxa"/>
            </w:tcMar>
            <w:vAlign w:val="top"/>
            <w:shd w:fill="F4F7F9"/>
          </w:tcPr>
          <w:p>
            <w:pPr>
              <w:spacing w:after="0" w:line="240" w:lineRule="auto"/>
            </w:pPr>
            <w:r>
              <w:rPr>
                <w:rFonts w:ascii="Aptos" w:hAnsi="Aptos"/>
                <w:color w:val="182638"/>
                <w:sz w:val="14"/>
              </w:rPr>
              <w:t>Official data for a more India-specific operational version; warning/current-data context.</w:t>
            </w:r>
          </w:p>
        </w:tc>
        <w:tc>
          <w:tcPr>
            <w:tcW w:type="dxa" w:w="2664"/>
            <w:tcMar>
              <w:top w:w="75" w:type="dxa"/>
              <w:start w:w="90" w:type="dxa"/>
              <w:bottom w:w="75" w:type="dxa"/>
              <w:end w:w="90" w:type="dxa"/>
            </w:tcMar>
            <w:vAlign w:val="top"/>
            <w:shd w:fill="F4F7F9"/>
          </w:tcPr>
          <w:p>
            <w:pPr>
              <w:spacing w:after="0" w:line="240" w:lineRule="auto"/>
            </w:pPr>
            <w:r>
              <w:rPr>
                <w:rFonts w:ascii="Aptos" w:hAnsi="Aptos"/>
                <w:color w:val="182638"/>
                <w:sz w:val="14"/>
              </w:rPr>
              <w:t>API management/account access may be required; test credentials and response format early. Keep as optional, not a dependency for the demo.</w:t>
            </w:r>
          </w:p>
        </w:tc>
      </w:tr>
      <w:tr>
        <w:tc>
          <w:tcPr>
            <w:tcW w:type="dxa" w:w="1944"/>
            <w:tcMar>
              <w:top w:w="75" w:type="dxa"/>
              <w:start w:w="90" w:type="dxa"/>
              <w:bottom w:w="75" w:type="dxa"/>
              <w:end w:w="90" w:type="dxa"/>
            </w:tcMar>
            <w:vAlign w:val="top"/>
          </w:tcPr>
          <w:p>
            <w:pPr>
              <w:spacing w:after="0" w:line="240" w:lineRule="auto"/>
            </w:pPr>
            <w:r>
              <w:rPr>
                <w:rFonts w:ascii="Aptos" w:hAnsi="Aptos"/>
                <w:color w:val="182638"/>
                <w:sz w:val="14"/>
              </w:rPr>
              <w:t>NRSC/Bhuvan flood portal [R13-R14]</w:t>
            </w:r>
          </w:p>
        </w:tc>
        <w:tc>
          <w:tcPr>
            <w:tcW w:type="dxa" w:w="3096"/>
            <w:tcMar>
              <w:top w:w="75" w:type="dxa"/>
              <w:start w:w="90" w:type="dxa"/>
              <w:bottom w:w="75" w:type="dxa"/>
              <w:end w:w="90" w:type="dxa"/>
            </w:tcMar>
            <w:vAlign w:val="top"/>
          </w:tcPr>
          <w:p>
            <w:pPr>
              <w:spacing w:after="0" w:line="240" w:lineRule="auto"/>
            </w:pPr>
            <w:r>
              <w:rPr>
                <w:rFonts w:ascii="Aptos" w:hAnsi="Aptos"/>
                <w:color w:val="182638"/>
                <w:sz w:val="14"/>
              </w:rPr>
              <w:t>Flood annual layers, recent inundation layers, flood hazard zones based on maximum inundation layers from 1998–2019, and aggregated state-level maps for 2003–2020. Portal provides metadata and webservice URLs.</w:t>
            </w:r>
          </w:p>
        </w:tc>
        <w:tc>
          <w:tcPr>
            <w:tcW w:type="dxa" w:w="2376"/>
            <w:tcMar>
              <w:top w:w="75" w:type="dxa"/>
              <w:start w:w="90" w:type="dxa"/>
              <w:bottom w:w="75" w:type="dxa"/>
              <w:end w:w="90" w:type="dxa"/>
            </w:tcMar>
            <w:vAlign w:val="top"/>
          </w:tcPr>
          <w:p>
            <w:pPr>
              <w:spacing w:after="0" w:line="240" w:lineRule="auto"/>
            </w:pPr>
            <w:r>
              <w:rPr>
                <w:rFonts w:ascii="Aptos" w:hAnsi="Aptos"/>
                <w:color w:val="182638"/>
                <w:sz w:val="14"/>
              </w:rPr>
              <w:t>Historical hazard context and independent visual/spatial validation if a downloadable service is available.</w:t>
            </w:r>
          </w:p>
        </w:tc>
        <w:tc>
          <w:tcPr>
            <w:tcW w:type="dxa" w:w="2664"/>
            <w:tcMar>
              <w:top w:w="75" w:type="dxa"/>
              <w:start w:w="90" w:type="dxa"/>
              <w:bottom w:w="75" w:type="dxa"/>
              <w:end w:w="90" w:type="dxa"/>
            </w:tcMar>
            <w:vAlign w:val="top"/>
          </w:tcPr>
          <w:p>
            <w:pPr>
              <w:spacing w:after="0" w:line="240" w:lineRule="auto"/>
            </w:pPr>
            <w:r>
              <w:rPr>
                <w:rFonts w:ascii="Aptos" w:hAnsi="Aptos"/>
                <w:color w:val="182638"/>
                <w:sz w:val="14"/>
              </w:rPr>
              <w:t>The portal warns satellite coverage may miss peak flooding, minor flooding and flash floods. Structured Mumbai geometry download was not verified; do not assume a clean GeoJSON export.</w:t>
            </w:r>
          </w:p>
        </w:tc>
      </w:tr>
      <w:tr>
        <w:tc>
          <w:tcPr>
            <w:tcW w:type="dxa" w:w="1944"/>
            <w:tcMar>
              <w:top w:w="75" w:type="dxa"/>
              <w:start w:w="90" w:type="dxa"/>
              <w:bottom w:w="75" w:type="dxa"/>
              <w:end w:w="90" w:type="dxa"/>
            </w:tcMar>
            <w:vAlign w:val="top"/>
            <w:shd w:fill="F4F7F9"/>
          </w:tcPr>
          <w:p>
            <w:pPr>
              <w:spacing w:after="0" w:line="240" w:lineRule="auto"/>
            </w:pPr>
            <w:r>
              <w:rPr>
                <w:rFonts w:ascii="Aptos" w:hAnsi="Aptos"/>
                <w:color w:val="182638"/>
                <w:sz w:val="14"/>
              </w:rPr>
              <w:t>Copernicus DEM GLO-30 [R15]</w:t>
            </w:r>
          </w:p>
        </w:tc>
        <w:tc>
          <w:tcPr>
            <w:tcW w:type="dxa" w:w="3096"/>
            <w:tcMar>
              <w:top w:w="75" w:type="dxa"/>
              <w:start w:w="90" w:type="dxa"/>
              <w:bottom w:w="75" w:type="dxa"/>
              <w:end w:w="90" w:type="dxa"/>
            </w:tcMar>
            <w:vAlign w:val="top"/>
            <w:shd w:fill="F4F7F9"/>
          </w:tcPr>
          <w:p>
            <w:pPr>
              <w:spacing w:after="0" w:line="240" w:lineRule="auto"/>
            </w:pPr>
            <w:r>
              <w:rPr>
                <w:rFonts w:ascii="Aptos" w:hAnsi="Aptos"/>
                <w:color w:val="182638"/>
                <w:sz w:val="14"/>
              </w:rPr>
              <w:t>Public Cloud-Optimized GeoTIFF digital surface model, around 30 m; public tile coverage is not complete worldwide. Surface includes vegetation/buildings.</w:t>
            </w:r>
          </w:p>
        </w:tc>
        <w:tc>
          <w:tcPr>
            <w:tcW w:type="dxa" w:w="2376"/>
            <w:tcMar>
              <w:top w:w="75" w:type="dxa"/>
              <w:start w:w="90" w:type="dxa"/>
              <w:bottom w:w="75" w:type="dxa"/>
              <w:end w:w="90" w:type="dxa"/>
            </w:tcMar>
            <w:vAlign w:val="top"/>
            <w:shd w:fill="F4F7F9"/>
          </w:tcPr>
          <w:p>
            <w:pPr>
              <w:spacing w:after="0" w:line="240" w:lineRule="auto"/>
            </w:pPr>
            <w:r>
              <w:rPr>
                <w:rFonts w:ascii="Aptos" w:hAnsi="Aptos"/>
                <w:color w:val="182638"/>
                <w:sz w:val="14"/>
              </w:rPr>
              <w:t>Fallback elevation/slope/context if MCGM contours are not usable.</w:t>
            </w:r>
          </w:p>
        </w:tc>
        <w:tc>
          <w:tcPr>
            <w:tcW w:type="dxa" w:w="2664"/>
            <w:tcMar>
              <w:top w:w="75" w:type="dxa"/>
              <w:start w:w="90" w:type="dxa"/>
              <w:bottom w:w="75" w:type="dxa"/>
              <w:end w:w="90" w:type="dxa"/>
            </w:tcMar>
            <w:vAlign w:val="top"/>
            <w:shd w:fill="F4F7F9"/>
          </w:tcPr>
          <w:p>
            <w:pPr>
              <w:spacing w:after="0" w:line="240" w:lineRule="auto"/>
            </w:pPr>
            <w:r>
              <w:rPr>
                <w:rFonts w:ascii="Aptos" w:hAnsi="Aptos"/>
                <w:color w:val="182638"/>
                <w:sz w:val="14"/>
              </w:rPr>
              <w:t>Check the Mumbai tile exists. A 30 m DSM is not an urban drainage model and cannot provide reliable street water depth.</w:t>
            </w:r>
          </w:p>
        </w:tc>
      </w:tr>
      <w:tr>
        <w:tc>
          <w:tcPr>
            <w:tcW w:type="dxa" w:w="1944"/>
            <w:tcMar>
              <w:top w:w="75" w:type="dxa"/>
              <w:start w:w="90" w:type="dxa"/>
              <w:bottom w:w="75" w:type="dxa"/>
              <w:end w:w="90" w:type="dxa"/>
            </w:tcMar>
            <w:vAlign w:val="top"/>
          </w:tcPr>
          <w:p>
            <w:pPr>
              <w:spacing w:after="0" w:line="240" w:lineRule="auto"/>
            </w:pPr>
            <w:r>
              <w:rPr>
                <w:rFonts w:ascii="Aptos" w:hAnsi="Aptos"/>
                <w:color w:val="182638"/>
                <w:sz w:val="14"/>
              </w:rPr>
              <w:t>July 2005 Mumbai rainfall literature [R31]</w:t>
            </w:r>
          </w:p>
        </w:tc>
        <w:tc>
          <w:tcPr>
            <w:tcW w:type="dxa" w:w="3096"/>
            <w:tcMar>
              <w:top w:w="75" w:type="dxa"/>
              <w:start w:w="90" w:type="dxa"/>
              <w:bottom w:w="75" w:type="dxa"/>
              <w:end w:w="90" w:type="dxa"/>
            </w:tcMar>
            <w:vAlign w:val="top"/>
          </w:tcPr>
          <w:p>
            <w:pPr>
              <w:spacing w:after="0" w:line="240" w:lineRule="auto"/>
            </w:pPr>
            <w:r>
              <w:rPr>
                <w:rFonts w:ascii="Aptos" w:hAnsi="Aptos"/>
                <w:color w:val="182638"/>
                <w:sz w:val="14"/>
              </w:rPr>
              <w:t>Published observations report about 944.2 mm at Santacruz and roughly 74 mm at Colaba over the cited 24-hour period; published work includes sub-period rainfall.</w:t>
            </w:r>
          </w:p>
        </w:tc>
        <w:tc>
          <w:tcPr>
            <w:tcW w:type="dxa" w:w="2376"/>
            <w:tcMar>
              <w:top w:w="75" w:type="dxa"/>
              <w:start w:w="90" w:type="dxa"/>
              <w:bottom w:w="75" w:type="dxa"/>
              <w:end w:w="90" w:type="dxa"/>
            </w:tcMar>
            <w:vAlign w:val="top"/>
          </w:tcPr>
          <w:p>
            <w:pPr>
              <w:spacing w:after="0" w:line="240" w:lineRule="auto"/>
            </w:pPr>
            <w:r>
              <w:rPr>
                <w:rFonts w:ascii="Aptos" w:hAnsi="Aptos"/>
                <w:color w:val="182638"/>
                <w:sz w:val="14"/>
              </w:rPr>
              <w:t>Historical extreme-rainfall stress-test narrative and replay input; demonstrates extreme spatial variability.</w:t>
            </w:r>
          </w:p>
        </w:tc>
        <w:tc>
          <w:tcPr>
            <w:tcW w:type="dxa" w:w="2664"/>
            <w:tcMar>
              <w:top w:w="75" w:type="dxa"/>
              <w:start w:w="90" w:type="dxa"/>
              <w:bottom w:w="75" w:type="dxa"/>
              <w:end w:w="90" w:type="dxa"/>
            </w:tcMar>
            <w:vAlign w:val="top"/>
          </w:tcPr>
          <w:p>
            <w:pPr>
              <w:spacing w:after="0" w:line="240" w:lineRule="auto"/>
            </w:pPr>
            <w:r>
              <w:rPr>
                <w:rFonts w:ascii="Aptos" w:hAnsi="Aptos"/>
                <w:color w:val="182638"/>
                <w:sz w:val="14"/>
              </w:rPr>
              <w:t>Not a complete synchronized infrastructure-cascade dataset. Use as a scenario/replay, not as ground truth for road/hospital impacts.</w:t>
            </w:r>
          </w:p>
        </w:tc>
      </w:tr>
    </w:tbl>
    <w:p>
      <w:pPr>
        <w:spacing w:before="0" w:after="0" w:line="20" w:lineRule="exact"/>
      </w:pPr>
    </w:p>
    <w:p>
      <w:pPr>
        <w:pStyle w:val="Heading2"/>
        <w:keepNext/>
      </w:pPr>
      <w:r>
        <w:rPr>
          <w:rFonts w:ascii="Aptos" w:hAnsi="Aptos"/>
          <w:b/>
          <w:color w:val="0F9D91"/>
          <w:sz w:val="26"/>
        </w:rPr>
        <w:t>3.3 Optional / not core</w:t>
      </w:r>
    </w:p>
    <w:tbl>
      <w:tblPr>
        <w:tblW w:type="auto" w:w="0"/>
        <w:jc w:val="center"/>
        <w:tblLayout w:type="fixed"/>
        <w:tblLook w:firstColumn="1" w:firstRow="1" w:lastColumn="0" w:lastRow="0" w:noHBand="0" w:noVBand="1" w:val="04A0"/>
      </w:tblPr>
      <w:tblGrid>
        <w:gridCol w:w="2232"/>
        <w:gridCol w:w="4320"/>
        <w:gridCol w:w="3528"/>
      </w:tblGrid>
      <w:tr>
        <w:trPr>
          <w:tblHeader w:val="true"/>
        </w:trPr>
        <w:tc>
          <w:tcPr>
            <w:tcW w:type="dxa" w:w="3389"/>
            <w:shd w:fill="142338"/>
            <w:tcMar>
              <w:top w:w="85" w:type="dxa"/>
              <w:start w:w="90" w:type="dxa"/>
              <w:bottom w:w="85" w:type="dxa"/>
              <w:end w:w="90" w:type="dxa"/>
            </w:tcMar>
            <w:vAlign w:val="center"/>
          </w:tcPr>
          <w:p>
            <w:pPr>
              <w:spacing w:after="0"/>
            </w:pPr>
            <w:r>
              <w:rPr>
                <w:rFonts w:ascii="Aptos" w:hAnsi="Aptos"/>
                <w:b/>
                <w:color w:val="FFFFFF"/>
                <w:sz w:val="14"/>
              </w:rPr>
              <w:t>Source</w:t>
            </w:r>
          </w:p>
        </w:tc>
        <w:tc>
          <w:tcPr>
            <w:tcW w:type="dxa" w:w="3389"/>
            <w:shd w:fill="142338"/>
            <w:tcMar>
              <w:top w:w="85" w:type="dxa"/>
              <w:start w:w="90" w:type="dxa"/>
              <w:bottom w:w="85" w:type="dxa"/>
              <w:end w:w="90" w:type="dxa"/>
            </w:tcMar>
            <w:vAlign w:val="center"/>
          </w:tcPr>
          <w:p>
            <w:pPr>
              <w:spacing w:after="0"/>
            </w:pPr>
            <w:r>
              <w:rPr>
                <w:rFonts w:ascii="Aptos" w:hAnsi="Aptos"/>
                <w:b/>
                <w:color w:val="FFFFFF"/>
                <w:sz w:val="14"/>
              </w:rPr>
              <w:t>Practical role</w:t>
            </w:r>
          </w:p>
        </w:tc>
        <w:tc>
          <w:tcPr>
            <w:tcW w:type="dxa" w:w="3389"/>
            <w:shd w:fill="142338"/>
            <w:tcMar>
              <w:top w:w="85" w:type="dxa"/>
              <w:start w:w="90" w:type="dxa"/>
              <w:bottom w:w="85" w:type="dxa"/>
              <w:end w:w="90" w:type="dxa"/>
            </w:tcMar>
            <w:vAlign w:val="center"/>
          </w:tcPr>
          <w:p>
            <w:pPr>
              <w:spacing w:after="0"/>
            </w:pPr>
            <w:r>
              <w:rPr>
                <w:rFonts w:ascii="Aptos" w:hAnsi="Aptos"/>
                <w:b/>
                <w:color w:val="FFFFFF"/>
                <w:sz w:val="14"/>
              </w:rPr>
              <w:t>Decision</w:t>
            </w:r>
          </w:p>
        </w:tc>
      </w:tr>
      <w:tr>
        <w:tc>
          <w:tcPr>
            <w:tcW w:type="dxa" w:w="2232"/>
            <w:tcMar>
              <w:top w:w="75" w:type="dxa"/>
              <w:start w:w="90" w:type="dxa"/>
              <w:bottom w:w="75" w:type="dxa"/>
              <w:end w:w="90" w:type="dxa"/>
            </w:tcMar>
            <w:vAlign w:val="top"/>
          </w:tcPr>
          <w:p>
            <w:pPr>
              <w:spacing w:after="0" w:line="240" w:lineRule="auto"/>
            </w:pPr>
            <w:r>
              <w:rPr>
                <w:rFonts w:ascii="Aptos" w:hAnsi="Aptos"/>
                <w:color w:val="182638"/>
                <w:sz w:val="14"/>
              </w:rPr>
              <w:t>Global Flood Database / Google Earth Engine [R19]</w:t>
            </w:r>
          </w:p>
        </w:tc>
        <w:tc>
          <w:tcPr>
            <w:tcW w:type="dxa" w:w="4320"/>
            <w:tcMar>
              <w:top w:w="75" w:type="dxa"/>
              <w:start w:w="90" w:type="dxa"/>
              <w:bottom w:w="75" w:type="dxa"/>
              <w:end w:w="90" w:type="dxa"/>
            </w:tcMar>
            <w:vAlign w:val="top"/>
          </w:tcPr>
          <w:p>
            <w:pPr>
              <w:spacing w:after="0" w:line="240" w:lineRule="auto"/>
            </w:pPr>
            <w:r>
              <w:rPr>
                <w:rFonts w:ascii="Aptos" w:hAnsi="Aptos"/>
                <w:color w:val="182638"/>
                <w:sz w:val="14"/>
              </w:rPr>
              <w:t>250 m flood extent/duration for 913 mapped flood events from 2000–2018.</w:t>
            </w:r>
          </w:p>
        </w:tc>
        <w:tc>
          <w:tcPr>
            <w:tcW w:type="dxa" w:w="3528"/>
            <w:tcMar>
              <w:top w:w="75" w:type="dxa"/>
              <w:start w:w="90" w:type="dxa"/>
              <w:bottom w:w="75" w:type="dxa"/>
              <w:end w:w="90" w:type="dxa"/>
            </w:tcMar>
            <w:vAlign w:val="top"/>
          </w:tcPr>
          <w:p>
            <w:pPr>
              <w:spacing w:after="0" w:line="240" w:lineRule="auto"/>
            </w:pPr>
            <w:r>
              <w:rPr>
                <w:rFonts w:ascii="Aptos" w:hAnsi="Aptos"/>
                <w:color w:val="182638"/>
                <w:sz w:val="14"/>
              </w:rPr>
              <w:t>Optional only: check whether the particular Mumbai event/AOI is present. 250 m resolution and per-event selection mean it cannot validate street-level cascades by itself. Earth Engine access setup can consume time.</w:t>
            </w:r>
          </w:p>
        </w:tc>
      </w:tr>
      <w:tr>
        <w:tc>
          <w:tcPr>
            <w:tcW w:type="dxa" w:w="2232"/>
            <w:tcMar>
              <w:top w:w="75" w:type="dxa"/>
              <w:start w:w="90" w:type="dxa"/>
              <w:bottom w:w="75" w:type="dxa"/>
              <w:end w:w="90" w:type="dxa"/>
            </w:tcMar>
            <w:vAlign w:val="top"/>
            <w:shd w:fill="F4F7F9"/>
          </w:tcPr>
          <w:p>
            <w:pPr>
              <w:spacing w:after="0" w:line="240" w:lineRule="auto"/>
            </w:pPr>
            <w:r>
              <w:rPr>
                <w:rFonts w:ascii="Aptos" w:hAnsi="Aptos"/>
                <w:color w:val="182638"/>
                <w:sz w:val="14"/>
              </w:rPr>
              <w:t>NASA GPM IMERG [R20]</w:t>
            </w:r>
          </w:p>
        </w:tc>
        <w:tc>
          <w:tcPr>
            <w:tcW w:type="dxa" w:w="4320"/>
            <w:tcMar>
              <w:top w:w="75" w:type="dxa"/>
              <w:start w:w="90" w:type="dxa"/>
              <w:bottom w:w="75" w:type="dxa"/>
              <w:end w:w="90" w:type="dxa"/>
            </w:tcMar>
            <w:vAlign w:val="top"/>
            <w:shd w:fill="F4F7F9"/>
          </w:tcPr>
          <w:p>
            <w:pPr>
              <w:spacing w:after="0" w:line="240" w:lineRule="auto"/>
            </w:pPr>
            <w:r>
              <w:rPr>
                <w:rFonts w:ascii="Aptos" w:hAnsi="Aptos"/>
                <w:color w:val="182638"/>
                <w:sz w:val="14"/>
              </w:rPr>
              <w:t>Satellite rainfall at roughly 0.1° / 10 km and 30-minute cadence; near-real-time products can have hours of latency.</w:t>
            </w:r>
          </w:p>
        </w:tc>
        <w:tc>
          <w:tcPr>
            <w:tcW w:type="dxa" w:w="3528"/>
            <w:tcMar>
              <w:top w:w="75" w:type="dxa"/>
              <w:start w:w="90" w:type="dxa"/>
              <w:bottom w:w="75" w:type="dxa"/>
              <w:end w:w="90" w:type="dxa"/>
            </w:tcMar>
            <w:vAlign w:val="top"/>
            <w:shd w:fill="F4F7F9"/>
          </w:tcPr>
          <w:p>
            <w:pPr>
              <w:spacing w:after="0" w:line="240" w:lineRule="auto"/>
            </w:pPr>
            <w:r>
              <w:rPr>
                <w:rFonts w:ascii="Aptos" w:hAnsi="Aptos"/>
                <w:color w:val="182638"/>
                <w:sz w:val="14"/>
              </w:rPr>
              <w:t>Independent broad rainfall cross-check only; too coarse to resolve local road flooding. Some downloads require Earthdata registration.</w:t>
            </w:r>
          </w:p>
        </w:tc>
      </w:tr>
      <w:tr>
        <w:tc>
          <w:tcPr>
            <w:tcW w:type="dxa" w:w="2232"/>
            <w:tcMar>
              <w:top w:w="75" w:type="dxa"/>
              <w:start w:w="90" w:type="dxa"/>
              <w:bottom w:w="75" w:type="dxa"/>
              <w:end w:w="90" w:type="dxa"/>
            </w:tcMar>
            <w:vAlign w:val="top"/>
          </w:tcPr>
          <w:p>
            <w:pPr>
              <w:spacing w:after="0" w:line="240" w:lineRule="auto"/>
            </w:pPr>
            <w:r>
              <w:rPr>
                <w:rFonts w:ascii="Aptos" w:hAnsi="Aptos"/>
                <w:color w:val="182638"/>
                <w:sz w:val="14"/>
              </w:rPr>
              <w:t>CHIRPS daily precipitation [R21]</w:t>
            </w:r>
          </w:p>
        </w:tc>
        <w:tc>
          <w:tcPr>
            <w:tcW w:type="dxa" w:w="4320"/>
            <w:tcMar>
              <w:top w:w="75" w:type="dxa"/>
              <w:start w:w="90" w:type="dxa"/>
              <w:bottom w:w="75" w:type="dxa"/>
              <w:end w:w="90" w:type="dxa"/>
            </w:tcMar>
            <w:vAlign w:val="top"/>
          </w:tcPr>
          <w:p>
            <w:pPr>
              <w:spacing w:after="0" w:line="240" w:lineRule="auto"/>
            </w:pPr>
            <w:r>
              <w:rPr>
                <w:rFonts w:ascii="Aptos" w:hAnsi="Aptos"/>
                <w:color w:val="182638"/>
                <w:sz w:val="14"/>
              </w:rPr>
              <w:t>Daily rainfall at 0.05° since 1981; useful for long climatological context.</w:t>
            </w:r>
          </w:p>
        </w:tc>
        <w:tc>
          <w:tcPr>
            <w:tcW w:type="dxa" w:w="3528"/>
            <w:tcMar>
              <w:top w:w="75" w:type="dxa"/>
              <w:start w:w="90" w:type="dxa"/>
              <w:bottom w:w="75" w:type="dxa"/>
              <w:end w:w="90" w:type="dxa"/>
            </w:tcMar>
            <w:vAlign w:val="top"/>
          </w:tcPr>
          <w:p>
            <w:pPr>
              <w:spacing w:after="0" w:line="240" w:lineRule="auto"/>
            </w:pPr>
            <w:r>
              <w:rPr>
                <w:rFonts w:ascii="Aptos" w:hAnsi="Aptos"/>
                <w:color w:val="182638"/>
                <w:sz w:val="14"/>
              </w:rPr>
              <w:t>Do not use for hourly road-level prediction. Keep as optional background if data is already handy.</w:t>
            </w:r>
          </w:p>
        </w:tc>
      </w:tr>
      <w:tr>
        <w:tc>
          <w:tcPr>
            <w:tcW w:type="dxa" w:w="2232"/>
            <w:tcMar>
              <w:top w:w="75" w:type="dxa"/>
              <w:start w:w="90" w:type="dxa"/>
              <w:bottom w:w="75" w:type="dxa"/>
              <w:end w:w="90" w:type="dxa"/>
            </w:tcMar>
            <w:vAlign w:val="top"/>
            <w:shd w:fill="F4F7F9"/>
          </w:tcPr>
          <w:p>
            <w:pPr>
              <w:spacing w:after="0" w:line="240" w:lineRule="auto"/>
            </w:pPr>
            <w:r>
              <w:rPr>
                <w:rFonts w:ascii="Aptos" w:hAnsi="Aptos"/>
                <w:color w:val="182638"/>
                <w:sz w:val="14"/>
              </w:rPr>
              <w:t>OpenTopography API [R22]</w:t>
            </w:r>
          </w:p>
        </w:tc>
        <w:tc>
          <w:tcPr>
            <w:tcW w:type="dxa" w:w="4320"/>
            <w:tcMar>
              <w:top w:w="75" w:type="dxa"/>
              <w:start w:w="90" w:type="dxa"/>
              <w:bottom w:w="75" w:type="dxa"/>
              <w:end w:w="90" w:type="dxa"/>
            </w:tcMar>
            <w:vAlign w:val="top"/>
            <w:shd w:fill="F4F7F9"/>
          </w:tcPr>
          <w:p>
            <w:pPr>
              <w:spacing w:after="0" w:line="240" w:lineRule="auto"/>
            </w:pPr>
            <w:r>
              <w:rPr>
                <w:rFonts w:ascii="Aptos" w:hAnsi="Aptos"/>
                <w:color w:val="182638"/>
                <w:sz w:val="14"/>
              </w:rPr>
              <w:t>Global elevation services; free API key required; public rate limits depend on account type.</w:t>
            </w:r>
          </w:p>
        </w:tc>
        <w:tc>
          <w:tcPr>
            <w:tcW w:type="dxa" w:w="3528"/>
            <w:tcMar>
              <w:top w:w="75" w:type="dxa"/>
              <w:start w:w="90" w:type="dxa"/>
              <w:bottom w:w="75" w:type="dxa"/>
              <w:end w:w="90" w:type="dxa"/>
            </w:tcMar>
            <w:vAlign w:val="top"/>
            <w:shd w:fill="F4F7F9"/>
          </w:tcPr>
          <w:p>
            <w:pPr>
              <w:spacing w:after="0" w:line="240" w:lineRule="auto"/>
            </w:pPr>
            <w:r>
              <w:rPr>
                <w:rFonts w:ascii="Aptos" w:hAnsi="Aptos"/>
                <w:color w:val="182638"/>
                <w:sz w:val="14"/>
              </w:rPr>
              <w:t>Backup only if MCGM contours and Copernicus tiles fail. Pre-download one AOI; no repeated point-by-point API calls.</w:t>
            </w:r>
          </w:p>
        </w:tc>
      </w:tr>
      <w:tr>
        <w:tc>
          <w:tcPr>
            <w:tcW w:type="dxa" w:w="2232"/>
            <w:tcMar>
              <w:top w:w="75" w:type="dxa"/>
              <w:start w:w="90" w:type="dxa"/>
              <w:bottom w:w="75" w:type="dxa"/>
              <w:end w:w="90" w:type="dxa"/>
            </w:tcMar>
            <w:vAlign w:val="top"/>
          </w:tcPr>
          <w:p>
            <w:pPr>
              <w:spacing w:after="0" w:line="240" w:lineRule="auto"/>
            </w:pPr>
            <w:r>
              <w:rPr>
                <w:rFonts w:ascii="Aptos" w:hAnsi="Aptos"/>
                <w:color w:val="182638"/>
                <w:sz w:val="14"/>
              </w:rPr>
              <w:t>Global Flood Awareness System (GloFAS) [R36-R37]</w:t>
            </w:r>
          </w:p>
        </w:tc>
        <w:tc>
          <w:tcPr>
            <w:tcW w:type="dxa" w:w="4320"/>
            <w:tcMar>
              <w:top w:w="75" w:type="dxa"/>
              <w:start w:w="90" w:type="dxa"/>
              <w:bottom w:w="75" w:type="dxa"/>
              <w:end w:w="90" w:type="dxa"/>
            </w:tcMar>
            <w:vAlign w:val="top"/>
          </w:tcPr>
          <w:p>
            <w:pPr>
              <w:spacing w:after="0" w:line="240" w:lineRule="auto"/>
            </w:pPr>
            <w:r>
              <w:rPr>
                <w:rFonts w:ascii="Aptos" w:hAnsi="Aptos"/>
                <w:color w:val="182638"/>
                <w:sz w:val="14"/>
              </w:rPr>
              <w:t>Global river-discharge / runoff forecasts and historical simulations; typically modelled on a multi-kilometre grid with daily hydrological fields. Historical data documentation notes an API-request change published in July 2026.</w:t>
            </w:r>
          </w:p>
        </w:tc>
        <w:tc>
          <w:tcPr>
            <w:tcW w:type="dxa" w:w="3528"/>
            <w:tcMar>
              <w:top w:w="75" w:type="dxa"/>
              <w:start w:w="90" w:type="dxa"/>
              <w:bottom w:w="75" w:type="dxa"/>
              <w:end w:w="90" w:type="dxa"/>
            </w:tcMar>
            <w:vAlign w:val="top"/>
          </w:tcPr>
          <w:p>
            <w:pPr>
              <w:spacing w:after="0" w:line="240" w:lineRule="auto"/>
            </w:pPr>
            <w:r>
              <w:rPr>
                <w:rFonts w:ascii="Aptos" w:hAnsi="Aptos"/>
                <w:color w:val="182638"/>
                <w:sz w:val="14"/>
              </w:rPr>
              <w:t>Optional catchment context only if a relevant river pixel is available. Not a street-flood or urban-drainage model; do not follow unverified API snippets from third-party repositories.</w:t>
            </w:r>
          </w:p>
        </w:tc>
      </w:tr>
    </w:tbl>
    <w:p>
      <w:pPr>
        <w:spacing w:before="0" w:after="0" w:line="20" w:lineRule="exact"/>
      </w:pPr>
    </w:p>
    <w:p>
      <w:pPr>
        <w:pStyle w:val="Heading1"/>
        <w:keepNext/>
        <w:pageBreakBefore/>
      </w:pPr>
      <w:r>
        <w:rPr>
          <w:rFonts w:ascii="Aptos" w:hAnsi="Aptos"/>
          <w:b/>
          <w:color w:val="142338"/>
          <w:sz w:val="36"/>
        </w:rPr>
        <w:t>4. Exact acquisition workflow and fallback order</w:t>
      </w:r>
    </w:p>
    <w:p>
      <w:pPr>
        <w:pStyle w:val="Heading2"/>
        <w:keepNext/>
      </w:pPr>
      <w:r>
        <w:rPr>
          <w:rFonts w:ascii="Aptos" w:hAnsi="Aptos"/>
          <w:b/>
          <w:color w:val="0F9D91"/>
          <w:sz w:val="26"/>
        </w:rPr>
        <w:t>4.1 First 60 minutes: prove the data, then choose the AOI</w:t>
      </w:r>
    </w:p>
    <w:p>
      <w:pPr>
        <w:keepLines/>
        <w:spacing w:after="60" w:line="245" w:lineRule="auto"/>
        <w:ind w:left="432" w:hanging="346"/>
      </w:pPr>
      <w:r>
        <w:rPr>
          <w:rFonts w:ascii="Aptos" w:hAnsi="Aptos"/>
          <w:b/>
          <w:color w:val="0F9D91"/>
          <w:sz w:val="18"/>
        </w:rPr>
        <w:t xml:space="preserve">1. </w:t>
      </w:r>
      <w:r>
        <w:rPr>
          <w:rFonts w:ascii="Aptos" w:hAnsi="Aptos"/>
          <w:b/>
          <w:color w:val="182638"/>
          <w:sz w:val="18"/>
        </w:rPr>
        <w:t xml:space="preserve">Inspect MCGM layer list. </w:t>
      </w:r>
      <w:r>
        <w:rPr>
          <w:rFonts w:ascii="Aptos" w:hAnsi="Aptos"/>
          <w:color w:val="182638"/>
          <w:sz w:val="18"/>
        </w:rPr>
        <w:t>Open the WGS MapServer layer directory [R3]. Confirm that Flooding Spots, Flow Level Sensor, Vulnerable Settlements, Hospitals, Fire Stations, Temporary Shelters, roads, water/drainage and contours appear. Save the metadata page locally as proof of source and layer IDs.</w:t>
      </w:r>
    </w:p>
    <w:p>
      <w:pPr>
        <w:keepLines/>
        <w:spacing w:after="60" w:line="245" w:lineRule="auto"/>
        <w:ind w:left="432" w:hanging="346"/>
      </w:pPr>
      <w:r>
        <w:rPr>
          <w:rFonts w:ascii="Aptos" w:hAnsi="Aptos"/>
          <w:b/>
          <w:color w:val="0F9D91"/>
          <w:sz w:val="18"/>
        </w:rPr>
        <w:t xml:space="preserve">2. </w:t>
      </w:r>
      <w:r>
        <w:rPr>
          <w:rFonts w:ascii="Aptos" w:hAnsi="Aptos"/>
          <w:b/>
          <w:color w:val="182638"/>
          <w:sz w:val="18"/>
        </w:rPr>
        <w:t xml:space="preserve">Test a single GeoJSON request. </w:t>
      </w:r>
      <w:r>
        <w:rPr>
          <w:rFonts w:ascii="Aptos" w:hAnsi="Aptos"/>
          <w:color w:val="182638"/>
          <w:sz w:val="18"/>
        </w:rPr>
        <w:t>Use the endpoint template in Appendix A on the Flooding Spots layer (344). Verify the response is actual FeatureCollection JSON, has geometries, contains useful fields, and returns WGS84 longitude/latitude when `outSR=4326` is requested.</w:t>
      </w:r>
    </w:p>
    <w:p>
      <w:pPr>
        <w:keepLines/>
        <w:spacing w:after="60" w:line="245" w:lineRule="auto"/>
        <w:ind w:left="432" w:hanging="346"/>
      </w:pPr>
      <w:r>
        <w:rPr>
          <w:rFonts w:ascii="Aptos" w:hAnsi="Aptos"/>
          <w:b/>
          <w:color w:val="0F9D91"/>
          <w:sz w:val="18"/>
        </w:rPr>
        <w:t xml:space="preserve">3. </w:t>
      </w:r>
      <w:r>
        <w:rPr>
          <w:rFonts w:ascii="Aptos" w:hAnsi="Aptos"/>
          <w:b/>
          <w:color w:val="182638"/>
          <w:sz w:val="18"/>
        </w:rPr>
        <w:t xml:space="preserve">Download only a small area first. </w:t>
      </w:r>
      <w:r>
        <w:rPr>
          <w:rFonts w:ascii="Aptos" w:hAnsi="Aptos"/>
          <w:color w:val="182638"/>
          <w:sz w:val="18"/>
        </w:rPr>
        <w:t>Choose an area where the real layers intersect—ideally a data-rich urban corridor/catchment. Filter by bounding geometry or ward, not the entire city, until record counts and performance are known.</w:t>
      </w:r>
    </w:p>
    <w:p>
      <w:pPr>
        <w:keepLines/>
        <w:spacing w:after="60" w:line="245" w:lineRule="auto"/>
        <w:ind w:left="432" w:hanging="346"/>
      </w:pPr>
      <w:r>
        <w:rPr>
          <w:rFonts w:ascii="Aptos" w:hAnsi="Aptos"/>
          <w:b/>
          <w:color w:val="0F9D91"/>
          <w:sz w:val="18"/>
        </w:rPr>
        <w:t xml:space="preserve">4. </w:t>
      </w:r>
      <w:r>
        <w:rPr>
          <w:rFonts w:ascii="Aptos" w:hAnsi="Aptos"/>
          <w:b/>
          <w:color w:val="182638"/>
          <w:sz w:val="18"/>
        </w:rPr>
        <w:t xml:space="preserve">Audit rainfall immediately. </w:t>
      </w:r>
      <w:r>
        <w:rPr>
          <w:rFonts w:ascii="Aptos" w:hAnsi="Aptos"/>
          <w:color w:val="182638"/>
          <w:sz w:val="18"/>
        </w:rPr>
        <w:t>Download `final_data.zip` from the Mumbai rainfall repo [R4]. Inspect timestamps, missingness, units, station coordinates and data coverage. Make a quick plot for one heavy-rain event and confirm the GFS forecasts are aligned by issue/valid time.</w:t>
      </w:r>
    </w:p>
    <w:p>
      <w:pPr>
        <w:keepLines/>
        <w:spacing w:after="60" w:line="245" w:lineRule="auto"/>
        <w:ind w:left="432" w:hanging="346"/>
      </w:pPr>
      <w:r>
        <w:rPr>
          <w:rFonts w:ascii="Aptos" w:hAnsi="Aptos"/>
          <w:b/>
          <w:color w:val="0F9D91"/>
          <w:sz w:val="18"/>
        </w:rPr>
        <w:t xml:space="preserve">5. </w:t>
      </w:r>
      <w:r>
        <w:rPr>
          <w:rFonts w:ascii="Aptos" w:hAnsi="Aptos"/>
          <w:b/>
          <w:color w:val="182638"/>
          <w:sz w:val="18"/>
        </w:rPr>
        <w:t xml:space="preserve">Check the NWDP CSVs, but do not wait on them. </w:t>
      </w:r>
      <w:r>
        <w:rPr>
          <w:rFonts w:ascii="Aptos" w:hAnsi="Aptos"/>
          <w:color w:val="182638"/>
          <w:sz w:val="18"/>
        </w:rPr>
        <w:t>Inspect station coordinates and completeness for the Maharashtra SW/CWPRS data [R5-R6]. If the download stalls or stations are distant from the AOI, move on.</w:t>
      </w:r>
    </w:p>
    <w:p>
      <w:pPr>
        <w:keepLines/>
        <w:spacing w:after="60" w:line="245" w:lineRule="auto"/>
        <w:ind w:left="432" w:hanging="346"/>
      </w:pPr>
      <w:r>
        <w:rPr>
          <w:rFonts w:ascii="Aptos" w:hAnsi="Aptos"/>
          <w:b/>
          <w:color w:val="0F9D91"/>
          <w:sz w:val="18"/>
        </w:rPr>
        <w:t xml:space="preserve">6. </w:t>
      </w:r>
      <w:r>
        <w:rPr>
          <w:rFonts w:ascii="Aptos" w:hAnsi="Aptos"/>
          <w:b/>
          <w:color w:val="182638"/>
          <w:sz w:val="18"/>
        </w:rPr>
        <w:t xml:space="preserve">Freeze the scope by minute 60. </w:t>
      </w:r>
      <w:r>
        <w:rPr>
          <w:rFonts w:ascii="Aptos" w:hAnsi="Aptos"/>
          <w:color w:val="182638"/>
          <w:sz w:val="18"/>
        </w:rPr>
        <w:t>Pick the smallest AOI with credible flooding, road, facility and population layers. Record every excluded dataset and why. Continue with fallbacks rather than spending the day on a portal that does not export.</w:t>
      </w:r>
    </w:p>
    <w:p>
      <w:pPr>
        <w:pStyle w:val="Heading2"/>
        <w:keepNext/>
      </w:pPr>
      <w:r>
        <w:rPr>
          <w:rFonts w:ascii="Aptos" w:hAnsi="Aptos"/>
          <w:b/>
          <w:color w:val="0F9D91"/>
          <w:sz w:val="26"/>
        </w:rPr>
        <w:t>4.2 MCGM REST query pattern</w:t>
      </w:r>
    </w:p>
    <w:p>
      <w:pPr>
        <w:spacing w:before="0" w:after="60" w:line="252" w:lineRule="auto"/>
      </w:pPr>
      <w:r>
        <w:rPr>
          <w:rFonts w:ascii="Aptos" w:hAnsi="Aptos"/>
          <w:i w:val="0"/>
        </w:rPr>
        <w:t>The MCGM ArcGIS service advertises JSON/GeoJSON query support. The service may be slow or time out, so the query must be tested manually. `344` below is the Flooding Spots layer ID shown in metadata, not a feature count. The same pattern can be used with the other published layer IDs. [R2-R3]</w:t>
      </w:r>
    </w:p>
    <w:p>
      <w:pPr>
        <w:spacing w:after="80"/>
        <w:ind w:left="259"/>
        <w:shd w:fill="F1F4F7"/>
        <w:ind w:left="150" w:right="150"/>
      </w:pPr>
      <w:r>
        <w:rPr>
          <w:rFonts w:ascii="Consolas" w:hAnsi="Consolas"/>
          <w:color w:val="182638"/>
          <w:sz w:val="16"/>
        </w:rPr>
        <w:t>https://prsrvgisapp.mcgm.gov.in/server/rest/services/mcgm/MCGMGIS_Departments_Master_All_Layers_WGS/MapServer/344/query?where=1%3D1&amp;outFields=*&amp;returnGeometry=true&amp;outSR=4326&amp;f=geojson</w:t>
      </w:r>
    </w:p>
    <w:p>
      <w:pPr>
        <w:spacing w:before="0" w:after="80" w:line="252" w:lineRule="auto"/>
      </w:pPr>
      <w:r>
        <w:rPr>
          <w:rFonts w:ascii="Aptos" w:hAnsi="Aptos"/>
          <w:i w:val="0"/>
          <w:sz w:val="17"/>
        </w:rPr>
        <w:t>Implementation note: the layer metadata advertises `MaxRecordCount=1000` and native spatial reference EPSG:32643 for these WGS-service layers. Some service/parent layers do not support pagination. If the first query is truncated, request object IDs with `returnIdsOnly=true`, then retrieve records in small object-ID batches; do not silently assume the first 1,000 features are the whole layer. Reproject/verify the result before mixing it with OSM or frontend GeoJSON.</w:t>
      </w:r>
    </w:p>
    <w:p>
      <w:pPr>
        <w:spacing w:before="0" w:after="100" w:line="252" w:lineRule="auto"/>
      </w:pPr>
      <w:r>
        <w:rPr>
          <w:rFonts w:ascii="Aptos" w:hAnsi="Aptos"/>
          <w:i w:val="0"/>
          <w:sz w:val="17"/>
        </w:rPr>
        <w:t>Recommended first checks: status code; JSON parse; feature count; geometry type; extent; CRS; whether fields include meaningful names/severity/date; whether pagination or object-ID batching is needed. If the endpoint returns only geometry without timestamps, treat it as a hotspot inventory, not a historical event time series.</w:t>
      </w:r>
    </w:p>
    <w:p>
      <w:pPr>
        <w:pStyle w:val="Heading2"/>
        <w:keepNext/>
      </w:pPr>
      <w:r>
        <w:rPr>
          <w:rFonts w:ascii="Aptos" w:hAnsi="Aptos"/>
          <w:b/>
          <w:color w:val="0F9D91"/>
          <w:sz w:val="26"/>
        </w:rPr>
        <w:t>4.3 Data extraction order and fallback ladder</w:t>
      </w:r>
    </w:p>
    <w:tbl>
      <w:tblPr>
        <w:tblW w:type="auto" w:w="0"/>
        <w:jc w:val="center"/>
        <w:tblLayout w:type="fixed"/>
        <w:tblLook w:firstColumn="1" w:firstRow="1" w:lastColumn="0" w:lastRow="0" w:noHBand="0" w:noVBand="1" w:val="04A0"/>
      </w:tblPr>
      <w:tblGrid>
        <w:gridCol w:w="749"/>
        <w:gridCol w:w="5040"/>
        <w:gridCol w:w="4291"/>
      </w:tblGrid>
      <w:tr>
        <w:trPr>
          <w:tblHeader w:val="true"/>
          <w:cantSplit/>
        </w:trPr>
        <w:tc>
          <w:tcPr>
            <w:tcW w:type="dxa" w:w="3389"/>
            <w:shd w:fill="142338"/>
            <w:tcMar>
              <w:top w:w="85" w:type="dxa"/>
              <w:start w:w="90" w:type="dxa"/>
              <w:bottom w:w="85" w:type="dxa"/>
              <w:end w:w="90" w:type="dxa"/>
            </w:tcMar>
            <w:vAlign w:val="center"/>
          </w:tcPr>
          <w:p>
            <w:pPr>
              <w:spacing w:after="0"/>
            </w:pPr>
            <w:r>
              <w:rPr>
                <w:rFonts w:ascii="Aptos" w:hAnsi="Aptos"/>
                <w:b/>
                <w:color w:val="FFFFFF"/>
                <w:sz w:val="15"/>
              </w:rPr>
              <w:t>Order</w:t>
            </w:r>
          </w:p>
        </w:tc>
        <w:tc>
          <w:tcPr>
            <w:tcW w:type="dxa" w:w="3389"/>
            <w:shd w:fill="142338"/>
            <w:tcMar>
              <w:top w:w="85" w:type="dxa"/>
              <w:start w:w="90" w:type="dxa"/>
              <w:bottom w:w="85" w:type="dxa"/>
              <w:end w:w="90" w:type="dxa"/>
            </w:tcMar>
            <w:vAlign w:val="center"/>
          </w:tcPr>
          <w:p>
            <w:pPr>
              <w:spacing w:after="0"/>
            </w:pPr>
            <w:r>
              <w:rPr>
                <w:rFonts w:ascii="Aptos" w:hAnsi="Aptos"/>
                <w:b/>
                <w:color w:val="FFFFFF"/>
                <w:sz w:val="15"/>
              </w:rPr>
              <w:t>Source / action</w:t>
            </w:r>
          </w:p>
        </w:tc>
        <w:tc>
          <w:tcPr>
            <w:tcW w:type="dxa" w:w="3389"/>
            <w:shd w:fill="142338"/>
            <w:tcMar>
              <w:top w:w="85" w:type="dxa"/>
              <w:start w:w="90" w:type="dxa"/>
              <w:bottom w:w="85" w:type="dxa"/>
              <w:end w:w="90" w:type="dxa"/>
            </w:tcMar>
            <w:vAlign w:val="center"/>
          </w:tcPr>
          <w:p>
            <w:pPr>
              <w:spacing w:after="0"/>
            </w:pPr>
            <w:r>
              <w:rPr>
                <w:rFonts w:ascii="Aptos" w:hAnsi="Aptos"/>
                <w:b/>
                <w:color w:val="FFFFFF"/>
                <w:sz w:val="15"/>
              </w:rPr>
              <w:t>If it fails</w:t>
            </w:r>
          </w:p>
        </w:tc>
      </w:tr>
      <w:tr>
        <w:trPr>
          <w:cantSplit/>
        </w:trPr>
        <w:tc>
          <w:tcPr>
            <w:tcW w:type="dxa" w:w="749"/>
            <w:tcMar>
              <w:top w:w="75" w:type="dxa"/>
              <w:start w:w="90" w:type="dxa"/>
              <w:bottom w:w="75" w:type="dxa"/>
              <w:end w:w="90" w:type="dxa"/>
            </w:tcMar>
            <w:vAlign w:val="top"/>
          </w:tcPr>
          <w:p>
            <w:pPr>
              <w:spacing w:after="0" w:line="240" w:lineRule="auto"/>
            </w:pPr>
            <w:r>
              <w:rPr>
                <w:rFonts w:ascii="Aptos" w:hAnsi="Aptos"/>
                <w:color w:val="182638"/>
                <w:sz w:val="15"/>
              </w:rPr>
              <w:t>A</w:t>
            </w:r>
          </w:p>
        </w:tc>
        <w:tc>
          <w:tcPr>
            <w:tcW w:type="dxa" w:w="5040"/>
            <w:tcMar>
              <w:top w:w="75" w:type="dxa"/>
              <w:start w:w="90" w:type="dxa"/>
              <w:bottom w:w="75" w:type="dxa"/>
              <w:end w:w="90" w:type="dxa"/>
            </w:tcMar>
            <w:vAlign w:val="top"/>
          </w:tcPr>
          <w:p>
            <w:pPr>
              <w:spacing w:after="0" w:line="240" w:lineRule="auto"/>
            </w:pPr>
            <w:r>
              <w:rPr>
                <w:rFonts w:ascii="Aptos" w:hAnsi="Aptos"/>
                <w:color w:val="182638"/>
                <w:sz w:val="15"/>
              </w:rPr>
              <w:t>MCGM WGS ArcGIS REST: flood spots, road centerlines/edges, hospitals/fire stations/shelters, vulnerable settlements, contours and drainage-related lines.</w:t>
            </w:r>
          </w:p>
        </w:tc>
        <w:tc>
          <w:tcPr>
            <w:tcW w:type="dxa" w:w="4291"/>
            <w:tcMar>
              <w:top w:w="75" w:type="dxa"/>
              <w:start w:w="90" w:type="dxa"/>
              <w:bottom w:w="75" w:type="dxa"/>
              <w:end w:w="90" w:type="dxa"/>
            </w:tcMar>
            <w:vAlign w:val="top"/>
          </w:tcPr>
          <w:p>
            <w:pPr>
              <w:spacing w:after="0" w:line="240" w:lineRule="auto"/>
            </w:pPr>
            <w:r>
              <w:rPr>
                <w:rFonts w:ascii="Aptos" w:hAnsi="Aptos"/>
                <w:color w:val="182638"/>
                <w:sz w:val="15"/>
              </w:rPr>
              <w:t>Fall back to OSM roads/POIs; retain flood spot evidence only if an official layer can be downloaded or its metadata can be cited. Do not fabricate a flood polygon.</w:t>
            </w:r>
          </w:p>
        </w:tc>
      </w:tr>
      <w:tr>
        <w:trPr>
          <w:cantSplit/>
        </w:trPr>
        <w:tc>
          <w:tcPr>
            <w:tcW w:type="dxa" w:w="749"/>
            <w:tcMar>
              <w:top w:w="75" w:type="dxa"/>
              <w:start w:w="90" w:type="dxa"/>
              <w:bottom w:w="75" w:type="dxa"/>
              <w:end w:w="90" w:type="dxa"/>
            </w:tcMar>
            <w:vAlign w:val="top"/>
            <w:shd w:fill="F4F7F9"/>
          </w:tcPr>
          <w:p>
            <w:pPr>
              <w:spacing w:after="0" w:line="240" w:lineRule="auto"/>
            </w:pPr>
            <w:r>
              <w:rPr>
                <w:rFonts w:ascii="Aptos" w:hAnsi="Aptos"/>
                <w:color w:val="182638"/>
                <w:sz w:val="15"/>
              </w:rPr>
              <w:t>B</w:t>
            </w:r>
          </w:p>
        </w:tc>
        <w:tc>
          <w:tcPr>
            <w:tcW w:type="dxa" w:w="5040"/>
            <w:tcMar>
              <w:top w:w="75" w:type="dxa"/>
              <w:start w:w="90" w:type="dxa"/>
              <w:bottom w:w="75" w:type="dxa"/>
              <w:end w:w="90" w:type="dxa"/>
            </w:tcMar>
            <w:vAlign w:val="top"/>
            <w:shd w:fill="F4F7F9"/>
          </w:tcPr>
          <w:p>
            <w:pPr>
              <w:spacing w:after="0" w:line="240" w:lineRule="auto"/>
            </w:pPr>
            <w:r>
              <w:rPr>
                <w:rFonts w:ascii="Aptos" w:hAnsi="Aptos"/>
                <w:color w:val="182638"/>
                <w:sz w:val="15"/>
              </w:rPr>
              <w:t>Mumbai 37-station rainfall dataset (15-minute series) plus coordinates.</w:t>
            </w:r>
          </w:p>
        </w:tc>
        <w:tc>
          <w:tcPr>
            <w:tcW w:type="dxa" w:w="4291"/>
            <w:tcMar>
              <w:top w:w="75" w:type="dxa"/>
              <w:start w:w="90" w:type="dxa"/>
              <w:bottom w:w="75" w:type="dxa"/>
              <w:end w:w="90" w:type="dxa"/>
            </w:tcMar>
            <w:vAlign w:val="top"/>
            <w:shd w:fill="F4F7F9"/>
          </w:tcPr>
          <w:p>
            <w:pPr>
              <w:spacing w:after="0" w:line="240" w:lineRule="auto"/>
            </w:pPr>
            <w:r>
              <w:rPr>
                <w:rFonts w:ascii="Aptos" w:hAnsi="Aptos"/>
                <w:color w:val="182638"/>
                <w:sz w:val="15"/>
              </w:rPr>
              <w:t>Use Open-Meteo archived historical forecasts for hindcasting and forecast API snapshots for the demo; mark it as model forecast, not gauge observation.</w:t>
            </w:r>
          </w:p>
        </w:tc>
      </w:tr>
      <w:tr>
        <w:trPr>
          <w:cantSplit/>
        </w:trPr>
        <w:tc>
          <w:tcPr>
            <w:tcW w:type="dxa" w:w="749"/>
            <w:tcMar>
              <w:top w:w="75" w:type="dxa"/>
              <w:start w:w="90" w:type="dxa"/>
              <w:bottom w:w="75" w:type="dxa"/>
              <w:end w:w="90" w:type="dxa"/>
            </w:tcMar>
            <w:vAlign w:val="top"/>
          </w:tcPr>
          <w:p>
            <w:pPr>
              <w:spacing w:after="0" w:line="240" w:lineRule="auto"/>
            </w:pPr>
            <w:r>
              <w:rPr>
                <w:rFonts w:ascii="Aptos" w:hAnsi="Aptos"/>
                <w:color w:val="182638"/>
                <w:sz w:val="15"/>
              </w:rPr>
              <w:t>C</w:t>
            </w:r>
          </w:p>
        </w:tc>
        <w:tc>
          <w:tcPr>
            <w:tcW w:type="dxa" w:w="5040"/>
            <w:tcMar>
              <w:top w:w="75" w:type="dxa"/>
              <w:start w:w="90" w:type="dxa"/>
              <w:bottom w:w="75" w:type="dxa"/>
              <w:end w:w="90" w:type="dxa"/>
            </w:tcMar>
            <w:vAlign w:val="top"/>
          </w:tcPr>
          <w:p>
            <w:pPr>
              <w:spacing w:after="0" w:line="240" w:lineRule="auto"/>
            </w:pPr>
            <w:r>
              <w:rPr>
                <w:rFonts w:ascii="Aptos" w:hAnsi="Aptos"/>
                <w:color w:val="182638"/>
                <w:sz w:val="15"/>
              </w:rPr>
              <w:t>Forecast rainfall for 72h from Open-Meteo or IMD where authorized.</w:t>
            </w:r>
          </w:p>
        </w:tc>
        <w:tc>
          <w:tcPr>
            <w:tcW w:type="dxa" w:w="4291"/>
            <w:tcMar>
              <w:top w:w="75" w:type="dxa"/>
              <w:start w:w="90" w:type="dxa"/>
              <w:bottom w:w="75" w:type="dxa"/>
              <w:end w:w="90" w:type="dxa"/>
            </w:tcMar>
            <w:vAlign w:val="top"/>
          </w:tcPr>
          <w:p>
            <w:pPr>
              <w:spacing w:after="0" w:line="240" w:lineRule="auto"/>
            </w:pPr>
            <w:r>
              <w:rPr>
                <w:rFonts w:ascii="Aptos" w:hAnsi="Aptos"/>
                <w:color w:val="182638"/>
                <w:sz w:val="15"/>
              </w:rPr>
              <w:t>Use a cached historical forecast / manually saved real weather-forecast snapshot. Scenario slider must explicitly say “replay/stress test” if not live.</w:t>
            </w:r>
          </w:p>
        </w:tc>
      </w:tr>
      <w:tr>
        <w:trPr>
          <w:cantSplit/>
        </w:trPr>
        <w:tc>
          <w:tcPr>
            <w:tcW w:type="dxa" w:w="749"/>
            <w:tcMar>
              <w:top w:w="75" w:type="dxa"/>
              <w:start w:w="90" w:type="dxa"/>
              <w:bottom w:w="75" w:type="dxa"/>
              <w:end w:w="90" w:type="dxa"/>
            </w:tcMar>
            <w:vAlign w:val="top"/>
            <w:shd w:fill="F4F7F9"/>
          </w:tcPr>
          <w:p>
            <w:pPr>
              <w:spacing w:after="0" w:line="240" w:lineRule="auto"/>
            </w:pPr>
            <w:r>
              <w:rPr>
                <w:rFonts w:ascii="Aptos" w:hAnsi="Aptos"/>
                <w:color w:val="182638"/>
                <w:sz w:val="15"/>
              </w:rPr>
              <w:t>D</w:t>
            </w:r>
          </w:p>
        </w:tc>
        <w:tc>
          <w:tcPr>
            <w:tcW w:type="dxa" w:w="5040"/>
            <w:tcMar>
              <w:top w:w="75" w:type="dxa"/>
              <w:start w:w="90" w:type="dxa"/>
              <w:bottom w:w="75" w:type="dxa"/>
              <w:end w:w="90" w:type="dxa"/>
            </w:tcMar>
            <w:vAlign w:val="top"/>
            <w:shd w:fill="F4F7F9"/>
          </w:tcPr>
          <w:p>
            <w:pPr>
              <w:spacing w:after="0" w:line="240" w:lineRule="auto"/>
            </w:pPr>
            <w:r>
              <w:rPr>
                <w:rFonts w:ascii="Aptos" w:hAnsi="Aptos"/>
                <w:color w:val="182638"/>
                <w:sz w:val="15"/>
              </w:rPr>
              <w:t>GHSL population grid and/or MCGM vulnerable settlement attributes.</w:t>
            </w:r>
          </w:p>
        </w:tc>
        <w:tc>
          <w:tcPr>
            <w:tcW w:type="dxa" w:w="4291"/>
            <w:tcMar>
              <w:top w:w="75" w:type="dxa"/>
              <w:start w:w="90" w:type="dxa"/>
              <w:bottom w:w="75" w:type="dxa"/>
              <w:end w:w="90" w:type="dxa"/>
            </w:tcMar>
            <w:vAlign w:val="top"/>
            <w:shd w:fill="F4F7F9"/>
          </w:tcPr>
          <w:p>
            <w:pPr>
              <w:spacing w:after="0" w:line="240" w:lineRule="auto"/>
            </w:pPr>
            <w:r>
              <w:rPr>
                <w:rFonts w:ascii="Aptos" w:hAnsi="Aptos"/>
                <w:color w:val="182638"/>
                <w:sz w:val="15"/>
              </w:rPr>
              <w:t>If the raster is too slow, use the published settlement layer attributes if actually present; otherwise report population as unavailable and use count of affected settlement polygons, not people.</w:t>
            </w:r>
          </w:p>
        </w:tc>
      </w:tr>
      <w:tr>
        <w:trPr>
          <w:cantSplit/>
        </w:trPr>
        <w:tc>
          <w:tcPr>
            <w:tcW w:type="dxa" w:w="749"/>
            <w:tcMar>
              <w:top w:w="75" w:type="dxa"/>
              <w:start w:w="90" w:type="dxa"/>
              <w:bottom w:w="75" w:type="dxa"/>
              <w:end w:w="90" w:type="dxa"/>
            </w:tcMar>
            <w:vAlign w:val="top"/>
          </w:tcPr>
          <w:p>
            <w:pPr>
              <w:spacing w:after="0" w:line="240" w:lineRule="auto"/>
            </w:pPr>
            <w:r>
              <w:rPr>
                <w:rFonts w:ascii="Aptos" w:hAnsi="Aptos"/>
                <w:color w:val="182638"/>
                <w:sz w:val="15"/>
              </w:rPr>
              <w:t>E</w:t>
            </w:r>
          </w:p>
        </w:tc>
        <w:tc>
          <w:tcPr>
            <w:tcW w:type="dxa" w:w="5040"/>
            <w:tcMar>
              <w:top w:w="75" w:type="dxa"/>
              <w:start w:w="90" w:type="dxa"/>
              <w:bottom w:w="75" w:type="dxa"/>
              <w:end w:w="90" w:type="dxa"/>
            </w:tcMar>
            <w:vAlign w:val="top"/>
          </w:tcPr>
          <w:p>
            <w:pPr>
              <w:spacing w:after="0" w:line="240" w:lineRule="auto"/>
            </w:pPr>
            <w:r>
              <w:rPr>
                <w:rFonts w:ascii="Aptos" w:hAnsi="Aptos"/>
                <w:color w:val="182638"/>
                <w:sz w:val="15"/>
              </w:rPr>
              <w:t>Contours or Copernicus GLO-30 DEM for terrain context.</w:t>
            </w:r>
          </w:p>
        </w:tc>
        <w:tc>
          <w:tcPr>
            <w:tcW w:type="dxa" w:w="4291"/>
            <w:tcMar>
              <w:top w:w="75" w:type="dxa"/>
              <w:start w:w="90" w:type="dxa"/>
              <w:bottom w:w="75" w:type="dxa"/>
              <w:end w:w="90" w:type="dxa"/>
            </w:tcMar>
            <w:vAlign w:val="top"/>
          </w:tcPr>
          <w:p>
            <w:pPr>
              <w:spacing w:after="0" w:line="240" w:lineRule="auto"/>
            </w:pPr>
            <w:r>
              <w:rPr>
                <w:rFonts w:ascii="Aptos" w:hAnsi="Aptos"/>
                <w:color w:val="182638"/>
                <w:sz w:val="15"/>
              </w:rPr>
              <w:t>Use official flood-spot proximity + rainfall exposure, but remove low-elevation claims from the driver panel.</w:t>
            </w:r>
          </w:p>
        </w:tc>
      </w:tr>
      <w:tr>
        <w:trPr>
          <w:cantSplit/>
        </w:trPr>
        <w:tc>
          <w:tcPr>
            <w:tcW w:type="dxa" w:w="749"/>
            <w:tcMar>
              <w:top w:w="75" w:type="dxa"/>
              <w:start w:w="90" w:type="dxa"/>
              <w:bottom w:w="75" w:type="dxa"/>
              <w:end w:w="90" w:type="dxa"/>
            </w:tcMar>
            <w:vAlign w:val="top"/>
            <w:shd w:fill="F4F7F9"/>
          </w:tcPr>
          <w:p>
            <w:pPr>
              <w:spacing w:after="0" w:line="240" w:lineRule="auto"/>
            </w:pPr>
            <w:r>
              <w:rPr>
                <w:rFonts w:ascii="Aptos" w:hAnsi="Aptos"/>
                <w:color w:val="182638"/>
                <w:sz w:val="15"/>
              </w:rPr>
              <w:t>F</w:t>
            </w:r>
          </w:p>
        </w:tc>
        <w:tc>
          <w:tcPr>
            <w:tcW w:type="dxa" w:w="5040"/>
            <w:tcMar>
              <w:top w:w="75" w:type="dxa"/>
              <w:start w:w="90" w:type="dxa"/>
              <w:bottom w:w="75" w:type="dxa"/>
              <w:end w:w="90" w:type="dxa"/>
            </w:tcMar>
            <w:vAlign w:val="top"/>
            <w:shd w:fill="F4F7F9"/>
          </w:tcPr>
          <w:p>
            <w:pPr>
              <w:spacing w:after="0" w:line="240" w:lineRule="auto"/>
            </w:pPr>
            <w:r>
              <w:rPr>
                <w:rFonts w:ascii="Aptos" w:hAnsi="Aptos"/>
                <w:color w:val="182638"/>
                <w:sz w:val="15"/>
              </w:rPr>
              <w:t>Bhuvan historic flood layer.</w:t>
            </w:r>
          </w:p>
        </w:tc>
        <w:tc>
          <w:tcPr>
            <w:tcW w:type="dxa" w:w="4291"/>
            <w:tcMar>
              <w:top w:w="75" w:type="dxa"/>
              <w:start w:w="90" w:type="dxa"/>
              <w:bottom w:w="75" w:type="dxa"/>
              <w:end w:w="90" w:type="dxa"/>
            </w:tcMar>
            <w:vAlign w:val="top"/>
            <w:shd w:fill="F4F7F9"/>
          </w:tcPr>
          <w:p>
            <w:pPr>
              <w:spacing w:after="0" w:line="240" w:lineRule="auto"/>
            </w:pPr>
            <w:r>
              <w:rPr>
                <w:rFonts w:ascii="Aptos" w:hAnsi="Aptos"/>
                <w:color w:val="182638"/>
                <w:sz w:val="15"/>
              </w:rPr>
              <w:t>Use MCGM hotspots and literature as context; no exact validation claim from a portal screenshot.</w:t>
            </w:r>
          </w:p>
        </w:tc>
      </w:tr>
    </w:tbl>
    <w:p>
      <w:pPr>
        <w:spacing w:before="0" w:after="0" w:line="20" w:lineRule="exact"/>
      </w:pPr>
    </w:p>
    <w:p>
      <w:pPr>
        <w:pStyle w:val="Heading1"/>
        <w:keepNext/>
      </w:pPr>
      <w:r>
        <w:rPr>
          <w:rFonts w:ascii="Aptos" w:hAnsi="Aptos"/>
          <w:b/>
          <w:color w:val="142338"/>
          <w:sz w:val="36"/>
        </w:rPr>
        <w:t>5. GitHub repository review: what to reuse and what to distrust</w:t>
      </w:r>
    </w:p>
    <w:p>
      <w:pPr>
        <w:spacing w:before="0" w:after="100" w:line="252" w:lineRule="auto"/>
      </w:pPr>
      <w:r>
        <w:rPr>
          <w:rFonts w:ascii="Aptos" w:hAnsi="Aptos"/>
          <w:i w:val="0"/>
        </w:rPr>
        <w:t>The repo scan is intended to find practical starting points and identify where a shiny feature list can conceal synthetic data. It is not a claim that the most recently updated repository is scientifically validated.</w:t>
      </w:r>
    </w:p>
    <w:p>
      <w:pPr>
        <w:pStyle w:val="Heading2"/>
        <w:keepNext/>
      </w:pPr>
      <w:r>
        <w:rPr>
          <w:rFonts w:ascii="Aptos" w:hAnsi="Aptos"/>
          <w:b/>
          <w:color w:val="0F9D91"/>
          <w:sz w:val="26"/>
        </w:rPr>
        <w:t>5.1 Useful repository: actual Mumbai rainfall time series</w:t>
      </w:r>
    </w:p>
    <w:p>
      <w:pPr>
        <w:spacing w:after="40" w:before="0" w:line="250" w:lineRule="auto"/>
      </w:pPr>
      <w:r>
        <w:rPr>
          <w:rFonts w:ascii="Aptos" w:hAnsi="Aptos"/>
          <w:b/>
          <w:sz w:val="19"/>
        </w:rPr>
        <w:t xml:space="preserve">Repository: </w:t>
      </w:r>
      <w:r>
        <w:rPr>
          <w:rFonts w:ascii="Aptos" w:hAnsi="Aptos"/>
          <w:b/>
          <w:color w:val="4678B8"/>
          <w:sz w:val="19"/>
        </w:rPr>
        <w:t xml:space="preserve">omkar-nitsure/Mumbai_RainFall_Forecasting </w:t>
      </w:r>
      <w:r>
        <w:rPr>
          <w:rFonts w:ascii="Aptos" w:hAnsi="Aptos"/>
          <w:b/>
          <w:color w:val="0F9D91"/>
          <w:sz w:val="19"/>
        </w:rPr>
        <w:t xml:space="preserve"> [R4]</w:t>
      </w:r>
    </w:p>
    <w:p>
      <w:hyperlink r:id="rId12">
        <w:r>
          <w:rPr>
            <w:color w:val="0F766E"/>
            <w:u w:val="single"/>
            <w:sz w:val="20"/>
          </w:rPr>
          <w:t>Open repository</w:t>
        </w:r>
      </w:hyperlink>
    </w:p>
    <w:p>
      <w:pPr>
        <w:pStyle w:val="ListBullet"/>
        <w:spacing w:after="50" w:line="245" w:lineRule="auto"/>
        <w:ind w:left="360" w:hanging="216"/>
      </w:pPr>
      <w:r>
        <w:rPr>
          <w:rFonts w:ascii="Aptos" w:hAnsi="Aptos"/>
          <w:b/>
          <w:color w:val="182638"/>
          <w:sz w:val="18"/>
        </w:rPr>
        <w:t xml:space="preserve">Why it matters: </w:t>
      </w:r>
      <w:r>
        <w:rPr>
          <w:rFonts w:ascii="Aptos" w:hAnsi="Aptos"/>
          <w:color w:val="182638"/>
          <w:sz w:val="18"/>
        </w:rPr>
        <w:t>README describes local 37-station rainfall/windspeed/GFS features at 15-minute cadence for 2015–2022; final combined dataset reports 93,695 rows and 111 features. The repo has preprocessing scripts, station coordinates, LSTM/Transformer code and `final_data.zip`.</w:t>
      </w:r>
    </w:p>
    <w:p>
      <w:pPr>
        <w:pStyle w:val="ListBullet"/>
        <w:spacing w:after="50" w:line="245" w:lineRule="auto"/>
        <w:ind w:left="360" w:hanging="216"/>
      </w:pPr>
      <w:r>
        <w:rPr>
          <w:rFonts w:ascii="Aptos" w:hAnsi="Aptos"/>
          <w:b/>
          <w:color w:val="182638"/>
          <w:sz w:val="18"/>
        </w:rPr>
        <w:t xml:space="preserve">Reuse: </w:t>
      </w:r>
      <w:r>
        <w:rPr>
          <w:rFonts w:ascii="Aptos" w:hAnsi="Aptos"/>
          <w:color w:val="182638"/>
          <w:sz w:val="18"/>
        </w:rPr>
        <w:t>download the dataset; use the existing code only as a baseline reference; evaluate a simple persistence baseline versus one compact temporal model on a strictly chronological test window.</w:t>
      </w:r>
    </w:p>
    <w:p>
      <w:pPr>
        <w:pStyle w:val="ListBullet"/>
        <w:spacing w:after="50" w:line="245" w:lineRule="auto"/>
        <w:ind w:left="360" w:hanging="216"/>
      </w:pPr>
      <w:r>
        <w:rPr>
          <w:rFonts w:ascii="Aptos" w:hAnsi="Aptos"/>
          <w:b/>
          <w:color w:val="182638"/>
          <w:sz w:val="18"/>
        </w:rPr>
        <w:t xml:space="preserve">Weakness / caution: </w:t>
      </w:r>
      <w:r>
        <w:rPr>
          <w:rFonts w:ascii="Aptos" w:hAnsi="Aptos"/>
          <w:color w:val="182638"/>
          <w:sz w:val="18"/>
        </w:rPr>
        <w:t>the README reports roughly 51% and 58% correlation in its example models. It targets about three-hour rainfall forecasting, not a 72-hour urban cascade. Audit GFS issue/valid times and all shifts before using its feature table.</w:t>
      </w:r>
    </w:p>
    <w:p>
      <w:pPr>
        <w:pStyle w:val="ListBullet"/>
        <w:spacing w:after="50" w:line="245" w:lineRule="auto"/>
        <w:ind w:left="360" w:hanging="216"/>
      </w:pPr>
      <w:r>
        <w:rPr>
          <w:rFonts w:ascii="Aptos" w:hAnsi="Aptos"/>
          <w:b/>
          <w:color w:val="182638"/>
          <w:sz w:val="18"/>
        </w:rPr>
        <w:t xml:space="preserve">License: </w:t>
      </w:r>
      <w:r>
        <w:rPr>
          <w:rFonts w:ascii="Aptos" w:hAnsi="Aptos"/>
          <w:color w:val="182638"/>
          <w:sz w:val="18"/>
        </w:rPr>
        <w:t>the repository contains an MIT license, but confirm third-party data licensing separately before repackaging the raw files.</w:t>
      </w:r>
    </w:p>
    <w:p>
      <w:pPr>
        <w:pStyle w:val="Heading2"/>
        <w:keepNext/>
      </w:pPr>
      <w:r>
        <w:rPr>
          <w:rFonts w:ascii="Aptos" w:hAnsi="Aptos"/>
          <w:b/>
          <w:color w:val="0F9D91"/>
          <w:sz w:val="26"/>
        </w:rPr>
        <w:t>5.2 Flood prediction repo: a code reference, not automatic ground truth</w:t>
      </w:r>
    </w:p>
    <w:p>
      <w:pPr>
        <w:spacing w:after="20" w:before="0" w:line="250" w:lineRule="auto"/>
      </w:pPr>
      <w:r>
        <w:rPr>
          <w:rFonts w:ascii="Aptos" w:hAnsi="Aptos"/>
          <w:b/>
          <w:sz w:val="19"/>
        </w:rPr>
        <w:t xml:space="preserve">Repository: </w:t>
      </w:r>
      <w:r>
        <w:rPr>
          <w:rFonts w:ascii="Aptos" w:hAnsi="Aptos"/>
          <w:b/>
          <w:color w:val="4678B8"/>
          <w:sz w:val="19"/>
        </w:rPr>
        <w:t xml:space="preserve">gaur-avvv/Flood-Prediction-Early-Warning </w:t>
      </w:r>
      <w:r>
        <w:rPr>
          <w:rFonts w:ascii="Aptos" w:hAnsi="Aptos"/>
          <w:b/>
          <w:color w:val="0F9D91"/>
          <w:sz w:val="19"/>
        </w:rPr>
        <w:t>[R29]</w:t>
      </w:r>
    </w:p>
    <w:p>
      <w:hyperlink r:id="rId13">
        <w:r>
          <w:rPr>
            <w:color w:val="0F766E"/>
            <w:u w:val="single"/>
            <w:sz w:val="20"/>
          </w:rPr>
          <w:t>Open repository</w:t>
        </w:r>
      </w:hyperlink>
    </w:p>
    <w:p>
      <w:pPr>
        <w:spacing w:before="0" w:after="80" w:line="252" w:lineRule="auto"/>
      </w:pPr>
      <w:r>
        <w:rPr>
          <w:rFonts w:ascii="Aptos" w:hAnsi="Aptos"/>
          <w:i w:val="0"/>
        </w:rPr>
        <w:t>The README describes a FastAPI service that combines Open-Meteo, GloFAS, terrain and OSM with a model ensemble. Inspection of `services/trainer.py` shows startup auto-initialization may train on synthetic data when no model exists; the model code describes flood/no-flood and depth targets but that alone does not prove that valid observed labels exist. The feature schema includes drainage capacity, drain age, drainage condition and sewer-overflow features that may not be present in the public sources. [R29]</w:t>
      </w:r>
    </w:p>
    <w:tbl>
      <w:tblPr>
        <w:tblW w:type="auto" w:w="0"/>
        <w:jc w:val="center"/>
        <w:tblLayout w:type="fixed"/>
        <w:tblLook w:firstColumn="1" w:firstRow="1" w:lastColumn="0" w:lastRow="0" w:noHBand="0" w:noVBand="1" w:val="04A0"/>
      </w:tblPr>
      <w:tblGrid>
        <w:gridCol w:w="9936"/>
      </w:tblGrid>
      <w:tr>
        <w:tc>
          <w:tcPr>
            <w:tcW w:type="dxa" w:w="10166"/>
            <w:shd w:fill="FFF4E1"/>
            <w:tcMar>
              <w:top w:w="140" w:type="dxa"/>
              <w:start w:w="180" w:type="dxa"/>
              <w:bottom w:w="140" w:type="dxa"/>
              <w:end w:w="180" w:type="dxa"/>
            </w:tcMar>
          </w:tcPr>
          <w:p>
            <w:pPr>
              <w:spacing w:after="80"/>
            </w:pPr>
            <w:r>
              <w:rPr>
                <w:rFonts w:ascii="Aptos" w:hAnsi="Aptos"/>
                <w:b/>
                <w:color w:val="E6A23C"/>
                <w:sz w:val="21"/>
              </w:rPr>
              <w:t>TAKEAWAY</w:t>
            </w:r>
          </w:p>
          <w:p>
            <w:pPr>
              <w:spacing w:after="0" w:line="252" w:lineRule="auto"/>
            </w:pPr>
            <w:r>
              <w:rPr>
                <w:rFonts w:ascii="Aptos" w:hAnsi="Aptos"/>
                <w:color w:val="182638"/>
                <w:sz w:val="18"/>
              </w:rPr>
              <w:t>Use this repo to learn what an API/feature-engineering service might look like. Do not consume its endpoint probabilities as ground truth and do not reuse feature names as evidence that those features are actually observed.</w:t>
            </w:r>
          </w:p>
        </w:tc>
      </w:tr>
    </w:tbl>
    <w:p>
      <w:pPr>
        <w:spacing w:after="0"/>
      </w:pPr>
    </w:p>
    <w:p>
      <w:r>
        <w:br w:type="page"/>
      </w:r>
    </w:p>
    <w:p>
      <w:pPr>
        <w:pStyle w:val="Heading2"/>
        <w:keepNext/>
      </w:pPr>
      <w:r>
        <w:rPr>
          <w:rFonts w:ascii="Aptos" w:hAnsi="Aptos"/>
          <w:b/>
          <w:color w:val="0F9D91"/>
          <w:sz w:val="26"/>
        </w:rPr>
        <w:t>5.3 Flood digital-twin repo: hard-coded values are not observations</w:t>
      </w:r>
    </w:p>
    <w:p>
      <w:pPr>
        <w:spacing w:after="20" w:before="0" w:line="250" w:lineRule="auto"/>
      </w:pPr>
      <w:r>
        <w:rPr>
          <w:rFonts w:ascii="Aptos" w:hAnsi="Aptos"/>
          <w:b/>
          <w:sz w:val="19"/>
        </w:rPr>
        <w:t xml:space="preserve">Repository: </w:t>
      </w:r>
      <w:r>
        <w:rPr>
          <w:rFonts w:ascii="Aptos" w:hAnsi="Aptos"/>
          <w:b/>
          <w:color w:val="4678B8"/>
          <w:sz w:val="19"/>
        </w:rPr>
        <w:t xml:space="preserve">himeshhalder/urban-flood </w:t>
      </w:r>
      <w:r>
        <w:rPr>
          <w:rFonts w:ascii="Aptos" w:hAnsi="Aptos"/>
          <w:b/>
          <w:color w:val="0F9D91"/>
          <w:sz w:val="19"/>
        </w:rPr>
        <w:t>[R30]</w:t>
      </w:r>
    </w:p>
    <w:p>
      <w:hyperlink r:id="rId14">
        <w:r>
          <w:rPr>
            <w:color w:val="0F766E"/>
            <w:u w:val="single"/>
            <w:sz w:val="20"/>
          </w:rPr>
          <w:t>Open repository</w:t>
        </w:r>
      </w:hyperlink>
    </w:p>
    <w:p>
      <w:pPr>
        <w:spacing w:before="0" w:after="80" w:line="252" w:lineRule="auto"/>
      </w:pPr>
      <w:r>
        <w:rPr>
          <w:rFonts w:ascii="Aptos" w:hAnsi="Aptos"/>
          <w:i w:val="0"/>
        </w:rPr>
        <w:t>Inspection of `src/data/mockData.ts` shows hard-coded Mumbai example values such as peak depth, arrival time and population-at-risk, while `src/data/citiesData.ts` contains a generalized multi-city scaffold. The README also describes very high-resolution LiDAR and drainage-capacity inputs; those should not be assumed to be real available data unless files, source links and provenance substantiate them. Treat this as a UI/architecture reference only, not as a verified data source. [R30]</w:t>
      </w:r>
    </w:p>
    <w:p>
      <w:pPr>
        <w:pStyle w:val="Heading2"/>
        <w:keepNext/>
      </w:pPr>
      <w:r>
        <w:rPr>
          <w:rFonts w:ascii="Aptos" w:hAnsi="Aptos"/>
          <w:b/>
          <w:color w:val="0F9D91"/>
          <w:sz w:val="26"/>
        </w:rPr>
        <w:t>5.4 Another recently published dashboard scaffold</w:t>
      </w:r>
    </w:p>
    <w:p>
      <w:pPr>
        <w:keepNext/>
        <w:spacing w:after="40"/>
      </w:pPr>
      <w:r>
        <w:rPr>
          <w:rFonts w:ascii="Aptos" w:hAnsi="Aptos"/>
          <w:b/>
          <w:color w:val="182638"/>
          <w:sz w:val="18"/>
        </w:rPr>
        <w:t xml:space="preserve">Repository: </w:t>
      </w:r>
      <w:hyperlink r:id="rId15">
        <w:r>
          <w:rPr>
            <w:color w:val="0F766E"/>
            <w:u w:val="single"/>
            <w:sz w:val="20"/>
          </w:rPr>
          <w:t>Chhavi24184/urban-flood-intelligence</w:t>
        </w:r>
      </w:hyperlink>
      <w:r>
        <w:rPr>
          <w:rFonts w:ascii="Aptos" w:hAnsi="Aptos"/>
          <w:b/>
          <w:color w:val="0F9D91"/>
          <w:sz w:val="18"/>
        </w:rPr>
        <w:t xml:space="preserve"> [R30A]</w:t>
      </w:r>
    </w:p>
    <w:p>
      <w:pPr>
        <w:spacing w:before="0" w:after="80" w:line="252" w:lineRule="auto"/>
      </w:pPr>
      <w:r>
        <w:rPr>
          <w:rFonts w:ascii="Aptos" w:hAnsi="Aptos"/>
          <w:i w:val="0"/>
        </w:rPr>
        <w:t>Its README advertises a Leaflet dashboard and local CSV data but does not establish their provenance in the README itself. Check the actual data files, their source citations and license before reuse. Similar “AI flood score + map” framing is not a strong differentiator by itself.</w:t>
      </w:r>
    </w:p>
    <w:p>
      <w:pPr>
        <w:pStyle w:val="Heading2"/>
        <w:keepNext/>
      </w:pPr>
      <w:r>
        <w:rPr>
          <w:rFonts w:ascii="Aptos" w:hAnsi="Aptos"/>
          <w:b/>
          <w:color w:val="0F9D91"/>
          <w:sz w:val="26"/>
        </w:rPr>
        <w:t>5.5 Originality rule</w:t>
      </w:r>
    </w:p>
    <w:p>
      <w:pPr>
        <w:pStyle w:val="ListBullet"/>
        <w:spacing w:after="50" w:line="245" w:lineRule="auto"/>
        <w:ind w:left="360" w:hanging="216"/>
      </w:pPr>
      <w:r>
        <w:rPr>
          <w:rFonts w:ascii="Aptos" w:hAnsi="Aptos"/>
          <w:color w:val="182638"/>
          <w:sz w:val="18"/>
        </w:rPr>
        <w:t>Do not copy hard-coded flood depths, arrival times, “live” sensor statuses, affected-population figures or claimed model accuracies unless the originating dataset and method can be reproduced.</w:t>
      </w:r>
    </w:p>
    <w:p>
      <w:pPr>
        <w:pStyle w:val="ListBullet"/>
        <w:spacing w:after="50" w:line="245" w:lineRule="auto"/>
        <w:ind w:left="360" w:hanging="216"/>
      </w:pPr>
      <w:r>
        <w:rPr>
          <w:rFonts w:ascii="Aptos" w:hAnsi="Aptos"/>
          <w:color w:val="182638"/>
          <w:sz w:val="18"/>
        </w:rPr>
        <w:t>Keep your own source manifest, time-alignment checks, temporal holdout and scenario assumptions in the repository.</w:t>
      </w:r>
    </w:p>
    <w:p>
      <w:pPr>
        <w:pStyle w:val="ListBullet"/>
        <w:spacing w:after="50" w:line="245" w:lineRule="auto"/>
        <w:ind w:left="360" w:hanging="216"/>
      </w:pPr>
      <w:r>
        <w:rPr>
          <w:rFonts w:ascii="Aptos" w:hAnsi="Aptos"/>
          <w:color w:val="182638"/>
          <w:sz w:val="18"/>
        </w:rPr>
        <w:t>The strongest differentiation is a measurable cascade and intervention comparison with real infrastructure geometry, not a bigger model stack or a larger dashboard.</w:t>
      </w:r>
    </w:p>
    <w:p>
      <w:r>
        <w:br w:type="page"/>
      </w:r>
    </w:p>
    <w:p>
      <w:pPr>
        <w:pStyle w:val="Heading1"/>
        <w:keepNext/>
      </w:pPr>
      <w:r>
        <w:rPr>
          <w:rFonts w:ascii="Aptos" w:hAnsi="Aptos"/>
          <w:b/>
          <w:color w:val="142338"/>
          <w:sz w:val="36"/>
        </w:rPr>
        <w:t>6. Architecture and model design</w:t>
      </w:r>
    </w:p>
    <w:p>
      <w:r>
        <w:drawing>
          <wp:inline xmlns:a="http://schemas.openxmlformats.org/drawingml/2006/main" xmlns:pic="http://schemas.openxmlformats.org/drawingml/2006/picture">
            <wp:extent cx="6355080" cy="3165964"/>
            <wp:docPr id="2" name="Picture 2"/>
            <wp:cNvGraphicFramePr>
              <a:graphicFrameLocks noChangeAspect="1"/>
            </wp:cNvGraphicFramePr>
            <a:graphic>
              <a:graphicData uri="http://schemas.openxmlformats.org/drawingml/2006/picture">
                <pic:pic>
                  <pic:nvPicPr>
                    <pic:cNvPr id="0" name="architecture.png"/>
                    <pic:cNvPicPr/>
                  </pic:nvPicPr>
                  <pic:blipFill>
                    <a:blip r:embed="rId16"/>
                    <a:stretch>
                      <a:fillRect/>
                    </a:stretch>
                  </pic:blipFill>
                  <pic:spPr>
                    <a:xfrm>
                      <a:off x="0" y="0"/>
                      <a:ext cx="6355080" cy="3165964"/>
                    </a:xfrm>
                    <a:prstGeom prst="rect"/>
                  </pic:spPr>
                </pic:pic>
              </a:graphicData>
            </a:graphic>
          </wp:inline>
        </w:drawing>
      </w:r>
    </w:p>
    <w:p>
      <w:pPr>
        <w:pStyle w:val="Heading2"/>
        <w:keepNext/>
      </w:pPr>
      <w:r>
        <w:rPr>
          <w:rFonts w:ascii="Aptos" w:hAnsi="Aptos"/>
          <w:b/>
          <w:color w:val="0F9D91"/>
          <w:sz w:val="26"/>
        </w:rPr>
        <w:t>6.1 Recommended technology architecture</w:t>
      </w:r>
    </w:p>
    <w:tbl>
      <w:tblPr>
        <w:tblW w:type="auto" w:w="0"/>
        <w:jc w:val="center"/>
        <w:tblLayout w:type="fixed"/>
        <w:tblLook w:firstColumn="1" w:firstRow="1" w:lastColumn="0" w:lastRow="0" w:noHBand="0" w:noVBand="1" w:val="04A0"/>
      </w:tblPr>
      <w:tblGrid>
        <w:gridCol w:w="1800"/>
        <w:gridCol w:w="2952"/>
        <w:gridCol w:w="5328"/>
      </w:tblGrid>
      <w:tr>
        <w:trPr>
          <w:tblHeader w:val="true"/>
        </w:trPr>
        <w:tc>
          <w:tcPr>
            <w:tcW w:type="dxa" w:w="3389"/>
            <w:shd w:fill="142338"/>
            <w:tcMar>
              <w:top w:w="85" w:type="dxa"/>
              <w:start w:w="90" w:type="dxa"/>
              <w:bottom w:w="85" w:type="dxa"/>
              <w:end w:w="90" w:type="dxa"/>
            </w:tcMar>
            <w:vAlign w:val="center"/>
          </w:tcPr>
          <w:p>
            <w:pPr>
              <w:spacing w:after="0"/>
            </w:pPr>
            <w:r>
              <w:rPr>
                <w:rFonts w:ascii="Aptos" w:hAnsi="Aptos"/>
                <w:b/>
                <w:color w:val="FFFFFF"/>
                <w:sz w:val="15"/>
              </w:rPr>
              <w:t>Layer</w:t>
            </w:r>
          </w:p>
        </w:tc>
        <w:tc>
          <w:tcPr>
            <w:tcW w:type="dxa" w:w="3389"/>
            <w:shd w:fill="142338"/>
            <w:tcMar>
              <w:top w:w="85" w:type="dxa"/>
              <w:start w:w="90" w:type="dxa"/>
              <w:bottom w:w="85" w:type="dxa"/>
              <w:end w:w="90" w:type="dxa"/>
            </w:tcMar>
            <w:vAlign w:val="center"/>
          </w:tcPr>
          <w:p>
            <w:pPr>
              <w:spacing w:after="0"/>
            </w:pPr>
            <w:r>
              <w:rPr>
                <w:rFonts w:ascii="Aptos" w:hAnsi="Aptos"/>
                <w:b/>
                <w:color w:val="FFFFFF"/>
                <w:sz w:val="15"/>
              </w:rPr>
              <w:t>Technology</w:t>
            </w:r>
          </w:p>
        </w:tc>
        <w:tc>
          <w:tcPr>
            <w:tcW w:type="dxa" w:w="3389"/>
            <w:shd w:fill="142338"/>
            <w:tcMar>
              <w:top w:w="85" w:type="dxa"/>
              <w:start w:w="90" w:type="dxa"/>
              <w:bottom w:w="85" w:type="dxa"/>
              <w:end w:w="90" w:type="dxa"/>
            </w:tcMar>
            <w:vAlign w:val="center"/>
          </w:tcPr>
          <w:p>
            <w:pPr>
              <w:spacing w:after="0"/>
            </w:pPr>
            <w:r>
              <w:rPr>
                <w:rFonts w:ascii="Aptos" w:hAnsi="Aptos"/>
                <w:b/>
                <w:color w:val="FFFFFF"/>
                <w:sz w:val="15"/>
              </w:rPr>
              <w:t>Why it fits 24 hours / free tier</w:t>
            </w:r>
          </w:p>
        </w:tc>
      </w:tr>
      <w:tr>
        <w:tc>
          <w:tcPr>
            <w:tcW w:type="dxa" w:w="1800"/>
            <w:tcMar>
              <w:top w:w="75" w:type="dxa"/>
              <w:start w:w="90" w:type="dxa"/>
              <w:bottom w:w="75" w:type="dxa"/>
              <w:end w:w="90" w:type="dxa"/>
            </w:tcMar>
            <w:vAlign w:val="top"/>
          </w:tcPr>
          <w:p>
            <w:pPr>
              <w:spacing w:after="0" w:line="240" w:lineRule="auto"/>
            </w:pPr>
            <w:r>
              <w:rPr>
                <w:rFonts w:ascii="Aptos" w:hAnsi="Aptos"/>
                <w:color w:val="182638"/>
                <w:sz w:val="15"/>
              </w:rPr>
              <w:t>Data preprocessing</w:t>
            </w:r>
          </w:p>
        </w:tc>
        <w:tc>
          <w:tcPr>
            <w:tcW w:type="dxa" w:w="2952"/>
            <w:tcMar>
              <w:top w:w="75" w:type="dxa"/>
              <w:start w:w="90" w:type="dxa"/>
              <w:bottom w:w="75" w:type="dxa"/>
              <w:end w:w="90" w:type="dxa"/>
            </w:tcMar>
            <w:vAlign w:val="top"/>
          </w:tcPr>
          <w:p>
            <w:pPr>
              <w:spacing w:after="0" w:line="240" w:lineRule="auto"/>
            </w:pPr>
            <w:r>
              <w:rPr>
                <w:rFonts w:ascii="Aptos" w:hAnsi="Aptos"/>
                <w:color w:val="182638"/>
                <w:sz w:val="15"/>
              </w:rPr>
              <w:t>Python 3.11+; pandas; GeoPandas; Shapely; pyogrio; rasterio only if needed.</w:t>
            </w:r>
          </w:p>
        </w:tc>
        <w:tc>
          <w:tcPr>
            <w:tcW w:type="dxa" w:w="5328"/>
            <w:tcMar>
              <w:top w:w="75" w:type="dxa"/>
              <w:start w:w="90" w:type="dxa"/>
              <w:bottom w:w="75" w:type="dxa"/>
              <w:end w:w="90" w:type="dxa"/>
            </w:tcMar>
            <w:vAlign w:val="top"/>
          </w:tcPr>
          <w:p>
            <w:pPr>
              <w:spacing w:after="0" w:line="240" w:lineRule="auto"/>
            </w:pPr>
            <w:r>
              <w:rPr>
                <w:rFonts w:ascii="Aptos" w:hAnsi="Aptos"/>
                <w:color w:val="182638"/>
                <w:sz w:val="15"/>
              </w:rPr>
              <w:t>Local scripts; no hosted compute or paid database. GeoPandas/Shapely handle clipping, distance and spatial joins.</w:t>
            </w:r>
          </w:p>
        </w:tc>
      </w:tr>
      <w:tr>
        <w:tc>
          <w:tcPr>
            <w:tcW w:type="dxa" w:w="1800"/>
            <w:tcMar>
              <w:top w:w="75" w:type="dxa"/>
              <w:start w:w="90" w:type="dxa"/>
              <w:bottom w:w="75" w:type="dxa"/>
              <w:end w:w="90" w:type="dxa"/>
            </w:tcMar>
            <w:vAlign w:val="top"/>
            <w:shd w:fill="F4F7F9"/>
          </w:tcPr>
          <w:p>
            <w:pPr>
              <w:spacing w:after="0" w:line="240" w:lineRule="auto"/>
            </w:pPr>
            <w:r>
              <w:rPr>
                <w:rFonts w:ascii="Aptos" w:hAnsi="Aptos"/>
                <w:color w:val="182638"/>
                <w:sz w:val="15"/>
              </w:rPr>
              <w:t>Risk/cascade engine</w:t>
            </w:r>
          </w:p>
        </w:tc>
        <w:tc>
          <w:tcPr>
            <w:tcW w:type="dxa" w:w="2952"/>
            <w:tcMar>
              <w:top w:w="75" w:type="dxa"/>
              <w:start w:w="90" w:type="dxa"/>
              <w:bottom w:w="75" w:type="dxa"/>
              <w:end w:w="90" w:type="dxa"/>
            </w:tcMar>
            <w:vAlign w:val="top"/>
            <w:shd w:fill="F4F7F9"/>
          </w:tcPr>
          <w:p>
            <w:pPr>
              <w:spacing w:after="0" w:line="240" w:lineRule="auto"/>
            </w:pPr>
            <w:r>
              <w:rPr>
                <w:rFonts w:ascii="Aptos" w:hAnsi="Aptos"/>
                <w:color w:val="182638"/>
                <w:sz w:val="15"/>
              </w:rPr>
              <w:t>NetworkX or a small TypeScript graph; Dijkstra shortest paths; simple greedy intervention search.</w:t>
            </w:r>
          </w:p>
        </w:tc>
        <w:tc>
          <w:tcPr>
            <w:tcW w:type="dxa" w:w="5328"/>
            <w:tcMar>
              <w:top w:w="75" w:type="dxa"/>
              <w:start w:w="90" w:type="dxa"/>
              <w:bottom w:w="75" w:type="dxa"/>
              <w:end w:w="90" w:type="dxa"/>
            </w:tcMar>
            <w:vAlign w:val="top"/>
            <w:shd w:fill="F4F7F9"/>
          </w:tcPr>
          <w:p>
            <w:pPr>
              <w:spacing w:after="0" w:line="240" w:lineRule="auto"/>
            </w:pPr>
            <w:r>
              <w:rPr>
                <w:rFonts w:ascii="Aptos" w:hAnsi="Aptos"/>
                <w:color w:val="182638"/>
                <w:sz w:val="15"/>
              </w:rPr>
              <w:t>Fast, explainable, open source. Use a modest AOI and graph rather than adding a GNN with no suitable cascade labels.</w:t>
            </w:r>
          </w:p>
        </w:tc>
      </w:tr>
      <w:tr>
        <w:tc>
          <w:tcPr>
            <w:tcW w:type="dxa" w:w="1800"/>
            <w:tcMar>
              <w:top w:w="75" w:type="dxa"/>
              <w:start w:w="90" w:type="dxa"/>
              <w:bottom w:w="75" w:type="dxa"/>
              <w:end w:w="90" w:type="dxa"/>
            </w:tcMar>
            <w:vAlign w:val="top"/>
          </w:tcPr>
          <w:p>
            <w:pPr>
              <w:spacing w:after="0" w:line="240" w:lineRule="auto"/>
            </w:pPr>
            <w:r>
              <w:rPr>
                <w:rFonts w:ascii="Aptos" w:hAnsi="Aptos"/>
                <w:color w:val="182638"/>
                <w:sz w:val="15"/>
              </w:rPr>
              <w:t>Forecast input</w:t>
            </w:r>
          </w:p>
        </w:tc>
        <w:tc>
          <w:tcPr>
            <w:tcW w:type="dxa" w:w="2952"/>
            <w:tcMar>
              <w:top w:w="75" w:type="dxa"/>
              <w:start w:w="90" w:type="dxa"/>
              <w:bottom w:w="75" w:type="dxa"/>
              <w:end w:w="90" w:type="dxa"/>
            </w:tcMar>
            <w:vAlign w:val="top"/>
          </w:tcPr>
          <w:p>
            <w:pPr>
              <w:spacing w:after="0" w:line="240" w:lineRule="auto"/>
            </w:pPr>
            <w:r>
              <w:rPr>
                <w:rFonts w:ascii="Aptos" w:hAnsi="Aptos"/>
                <w:color w:val="182638"/>
                <w:sz w:val="15"/>
              </w:rPr>
              <w:t>Open-Meteo JSON snapshot; optional IMD connector; local rainfall dataset for historical checks.</w:t>
            </w:r>
          </w:p>
        </w:tc>
        <w:tc>
          <w:tcPr>
            <w:tcW w:type="dxa" w:w="5328"/>
            <w:tcMar>
              <w:top w:w="75" w:type="dxa"/>
              <w:start w:w="90" w:type="dxa"/>
              <w:bottom w:w="75" w:type="dxa"/>
              <w:end w:w="90" w:type="dxa"/>
            </w:tcMar>
            <w:vAlign w:val="top"/>
          </w:tcPr>
          <w:p>
            <w:pPr>
              <w:spacing w:after="0" w:line="240" w:lineRule="auto"/>
            </w:pPr>
            <w:r>
              <w:rPr>
                <w:rFonts w:ascii="Aptos" w:hAnsi="Aptos"/>
                <w:color w:val="182638"/>
                <w:sz w:val="15"/>
              </w:rPr>
              <w:t>No API key for non-commercial Open-Meteo; all key data cached before demo; no runtime dependency on external network.</w:t>
            </w:r>
          </w:p>
        </w:tc>
      </w:tr>
      <w:tr>
        <w:tc>
          <w:tcPr>
            <w:tcW w:type="dxa" w:w="1800"/>
            <w:tcMar>
              <w:top w:w="75" w:type="dxa"/>
              <w:start w:w="90" w:type="dxa"/>
              <w:bottom w:w="75" w:type="dxa"/>
              <w:end w:w="90" w:type="dxa"/>
            </w:tcMar>
            <w:vAlign w:val="top"/>
            <w:shd w:fill="F4F7F9"/>
          </w:tcPr>
          <w:p>
            <w:pPr>
              <w:spacing w:after="0" w:line="240" w:lineRule="auto"/>
            </w:pPr>
            <w:r>
              <w:rPr>
                <w:rFonts w:ascii="Aptos" w:hAnsi="Aptos"/>
                <w:color w:val="182638"/>
                <w:sz w:val="15"/>
              </w:rPr>
              <w:t>Frontend</w:t>
            </w:r>
          </w:p>
        </w:tc>
        <w:tc>
          <w:tcPr>
            <w:tcW w:type="dxa" w:w="2952"/>
            <w:tcMar>
              <w:top w:w="75" w:type="dxa"/>
              <w:start w:w="90" w:type="dxa"/>
              <w:bottom w:w="75" w:type="dxa"/>
              <w:end w:w="90" w:type="dxa"/>
            </w:tcMar>
            <w:vAlign w:val="top"/>
            <w:shd w:fill="F4F7F9"/>
          </w:tcPr>
          <w:p>
            <w:pPr>
              <w:spacing w:after="0" w:line="240" w:lineRule="auto"/>
            </w:pPr>
            <w:r>
              <w:rPr>
                <w:rFonts w:ascii="Aptos" w:hAnsi="Aptos"/>
                <w:color w:val="182638"/>
                <w:sz w:val="15"/>
              </w:rPr>
              <w:t>React + Vite + TypeScript + MapLibre GL JS; ordinary CSS/Tailwind if the team already uses it.</w:t>
            </w:r>
          </w:p>
        </w:tc>
        <w:tc>
          <w:tcPr>
            <w:tcW w:type="dxa" w:w="5328"/>
            <w:tcMar>
              <w:top w:w="75" w:type="dxa"/>
              <w:start w:w="90" w:type="dxa"/>
              <w:bottom w:w="75" w:type="dxa"/>
              <w:end w:w="90" w:type="dxa"/>
            </w:tcMar>
            <w:vAlign w:val="top"/>
            <w:shd w:fill="F4F7F9"/>
          </w:tcPr>
          <w:p>
            <w:pPr>
              <w:spacing w:after="0" w:line="240" w:lineRule="auto"/>
            </w:pPr>
            <w:r>
              <w:rPr>
                <w:rFonts w:ascii="Aptos" w:hAnsi="Aptos"/>
                <w:color w:val="182638"/>
                <w:sz w:val="15"/>
              </w:rPr>
              <w:t>MapLibre is a WebGL map renderer and supports 3D building extrusions. Use local GeoJSON or a local PMTiles archive.</w:t>
            </w:r>
          </w:p>
        </w:tc>
      </w:tr>
      <w:tr>
        <w:tc>
          <w:tcPr>
            <w:tcW w:type="dxa" w:w="1800"/>
            <w:tcMar>
              <w:top w:w="75" w:type="dxa"/>
              <w:start w:w="90" w:type="dxa"/>
              <w:bottom w:w="75" w:type="dxa"/>
              <w:end w:w="90" w:type="dxa"/>
            </w:tcMar>
            <w:vAlign w:val="top"/>
          </w:tcPr>
          <w:p>
            <w:pPr>
              <w:spacing w:after="0" w:line="240" w:lineRule="auto"/>
            </w:pPr>
            <w:r>
              <w:rPr>
                <w:rFonts w:ascii="Aptos" w:hAnsi="Aptos"/>
                <w:color w:val="182638"/>
                <w:sz w:val="15"/>
              </w:rPr>
              <w:t>Data format / storage</w:t>
            </w:r>
          </w:p>
        </w:tc>
        <w:tc>
          <w:tcPr>
            <w:tcW w:type="dxa" w:w="2952"/>
            <w:tcMar>
              <w:top w:w="75" w:type="dxa"/>
              <w:start w:w="90" w:type="dxa"/>
              <w:bottom w:w="75" w:type="dxa"/>
              <w:end w:w="90" w:type="dxa"/>
            </w:tcMar>
            <w:vAlign w:val="top"/>
          </w:tcPr>
          <w:p>
            <w:pPr>
              <w:spacing w:after="0" w:line="240" w:lineRule="auto"/>
            </w:pPr>
            <w:r>
              <w:rPr>
                <w:rFonts w:ascii="Aptos" w:hAnsi="Aptos"/>
                <w:color w:val="182638"/>
                <w:sz w:val="15"/>
              </w:rPr>
              <w:t>GeoJSON for small layers; compact JSON for forecast/scenario inputs; PMTiles only if already generated; local filesystem.</w:t>
            </w:r>
          </w:p>
        </w:tc>
        <w:tc>
          <w:tcPr>
            <w:tcW w:type="dxa" w:w="5328"/>
            <w:tcMar>
              <w:top w:w="75" w:type="dxa"/>
              <w:start w:w="90" w:type="dxa"/>
              <w:bottom w:w="75" w:type="dxa"/>
              <w:end w:w="90" w:type="dxa"/>
            </w:tcMar>
            <w:vAlign w:val="top"/>
          </w:tcPr>
          <w:p>
            <w:pPr>
              <w:spacing w:after="0" w:line="240" w:lineRule="auto"/>
            </w:pPr>
            <w:r>
              <w:rPr>
                <w:rFonts w:ascii="Aptos" w:hAnsi="Aptos"/>
                <w:color w:val="182638"/>
                <w:sz w:val="15"/>
              </w:rPr>
              <w:t>No managed database required; simple to run offline and easy to version. Keep raw sources separate from derived outputs.</w:t>
            </w:r>
          </w:p>
        </w:tc>
      </w:tr>
      <w:tr>
        <w:tc>
          <w:tcPr>
            <w:tcW w:type="dxa" w:w="1800"/>
            <w:tcMar>
              <w:top w:w="75" w:type="dxa"/>
              <w:start w:w="90" w:type="dxa"/>
              <w:bottom w:w="75" w:type="dxa"/>
              <w:end w:w="90" w:type="dxa"/>
            </w:tcMar>
            <w:vAlign w:val="top"/>
            <w:shd w:fill="F4F7F9"/>
          </w:tcPr>
          <w:p>
            <w:pPr>
              <w:spacing w:after="0" w:line="240" w:lineRule="auto"/>
            </w:pPr>
            <w:r>
              <w:rPr>
                <w:rFonts w:ascii="Aptos" w:hAnsi="Aptos"/>
                <w:color w:val="182638"/>
                <w:sz w:val="15"/>
              </w:rPr>
              <w:t>Optional API</w:t>
            </w:r>
          </w:p>
        </w:tc>
        <w:tc>
          <w:tcPr>
            <w:tcW w:type="dxa" w:w="2952"/>
            <w:tcMar>
              <w:top w:w="75" w:type="dxa"/>
              <w:start w:w="90" w:type="dxa"/>
              <w:bottom w:w="75" w:type="dxa"/>
              <w:end w:w="90" w:type="dxa"/>
            </w:tcMar>
            <w:vAlign w:val="top"/>
            <w:shd w:fill="F4F7F9"/>
          </w:tcPr>
          <w:p>
            <w:pPr>
              <w:spacing w:after="0" w:line="240" w:lineRule="auto"/>
            </w:pPr>
            <w:r>
              <w:rPr>
                <w:rFonts w:ascii="Aptos" w:hAnsi="Aptos"/>
                <w:color w:val="182638"/>
                <w:sz w:val="15"/>
              </w:rPr>
              <w:t>FastAPI on localhost only if a server boundary is helpful.</w:t>
            </w:r>
          </w:p>
        </w:tc>
        <w:tc>
          <w:tcPr>
            <w:tcW w:type="dxa" w:w="5328"/>
            <w:tcMar>
              <w:top w:w="75" w:type="dxa"/>
              <w:start w:w="90" w:type="dxa"/>
              <w:bottom w:w="75" w:type="dxa"/>
              <w:end w:w="90" w:type="dxa"/>
            </w:tcMar>
            <w:vAlign w:val="top"/>
            <w:shd w:fill="F4F7F9"/>
          </w:tcPr>
          <w:p>
            <w:pPr>
              <w:spacing w:after="0" w:line="240" w:lineRule="auto"/>
            </w:pPr>
            <w:r>
              <w:rPr>
                <w:rFonts w:ascii="Aptos" w:hAnsi="Aptos"/>
                <w:color w:val="182638"/>
                <w:sz w:val="15"/>
              </w:rPr>
              <w:t>Avoid a free hosted Python process/cold start as a demo dependency. The static app can perform the scenario calculations locally.</w:t>
            </w:r>
          </w:p>
        </w:tc>
      </w:tr>
      <w:tr>
        <w:tc>
          <w:tcPr>
            <w:tcW w:type="dxa" w:w="1800"/>
            <w:tcMar>
              <w:top w:w="75" w:type="dxa"/>
              <w:start w:w="90" w:type="dxa"/>
              <w:bottom w:w="75" w:type="dxa"/>
              <w:end w:w="90" w:type="dxa"/>
            </w:tcMar>
            <w:vAlign w:val="top"/>
          </w:tcPr>
          <w:p>
            <w:pPr>
              <w:spacing w:after="0" w:line="240" w:lineRule="auto"/>
            </w:pPr>
            <w:r>
              <w:rPr>
                <w:rFonts w:ascii="Aptos" w:hAnsi="Aptos"/>
                <w:color w:val="182638"/>
                <w:sz w:val="15"/>
              </w:rPr>
              <w:t>Optional preview hosting</w:t>
            </w:r>
          </w:p>
        </w:tc>
        <w:tc>
          <w:tcPr>
            <w:tcW w:type="dxa" w:w="2952"/>
            <w:tcMar>
              <w:top w:w="75" w:type="dxa"/>
              <w:start w:w="90" w:type="dxa"/>
              <w:bottom w:w="75" w:type="dxa"/>
              <w:end w:w="90" w:type="dxa"/>
            </w:tcMar>
            <w:vAlign w:val="top"/>
          </w:tcPr>
          <w:p>
            <w:pPr>
              <w:spacing w:after="0" w:line="240" w:lineRule="auto"/>
            </w:pPr>
            <w:r>
              <w:rPr>
                <w:rFonts w:ascii="Aptos" w:hAnsi="Aptos"/>
                <w:color w:val="182638"/>
                <w:sz w:val="15"/>
              </w:rPr>
              <w:t>Cloudflare Pages static hosting or GitHub Pages after offline build is stable.</w:t>
            </w:r>
          </w:p>
        </w:tc>
        <w:tc>
          <w:tcPr>
            <w:tcW w:type="dxa" w:w="5328"/>
            <w:tcMar>
              <w:top w:w="75" w:type="dxa"/>
              <w:start w:w="90" w:type="dxa"/>
              <w:bottom w:w="75" w:type="dxa"/>
              <w:end w:w="90" w:type="dxa"/>
            </w:tcMar>
            <w:vAlign w:val="top"/>
          </w:tcPr>
          <w:p>
            <w:pPr>
              <w:spacing w:after="0" w:line="240" w:lineRule="auto"/>
            </w:pPr>
            <w:r>
              <w:rPr>
                <w:rFonts w:ascii="Aptos" w:hAnsi="Aptos"/>
                <w:color w:val="182638"/>
                <w:sz w:val="15"/>
              </w:rPr>
              <w:t>Static frontend only; hosting is optional and not the source of runtime intelligence. Confirm current quotas [R25].</w:t>
            </w:r>
          </w:p>
        </w:tc>
      </w:tr>
    </w:tbl>
    <w:p>
      <w:pPr>
        <w:spacing w:before="0" w:after="0" w:line="20" w:lineRule="exact"/>
      </w:pPr>
    </w:p>
    <w:p>
      <w:r>
        <w:br w:type="page"/>
      </w:r>
    </w:p>
    <w:p>
      <w:pPr>
        <w:pStyle w:val="Heading2"/>
        <w:keepNext/>
      </w:pPr>
      <w:r>
        <w:rPr>
          <w:rFonts w:ascii="Aptos" w:hAnsi="Aptos"/>
          <w:b/>
          <w:color w:val="0F9D91"/>
          <w:sz w:val="26"/>
        </w:rPr>
        <w:t>6.2 Canonical data model</w:t>
      </w:r>
    </w:p>
    <w:p>
      <w:pPr>
        <w:keepNext/>
        <w:spacing w:before="0" w:after="100" w:line="252" w:lineRule="auto"/>
      </w:pPr>
      <w:r>
        <w:rPr>
          <w:rFonts w:ascii="Aptos" w:hAnsi="Aptos"/>
          <w:i w:val="0"/>
        </w:rPr>
        <w:t>All upstream sources should be normalized into these core entities, with geometry and time separated from inference logic:</w:t>
      </w:r>
    </w:p>
    <w:tbl>
      <w:tblPr>
        <w:tblW w:type="auto" w:w="0"/>
        <w:jc w:val="center"/>
        <w:tblLayout w:type="fixed"/>
        <w:tblLook w:firstColumn="1" w:firstRow="1" w:lastColumn="0" w:lastRow="0" w:noHBand="0" w:noVBand="1" w:val="04A0"/>
      </w:tblPr>
      <w:tblGrid>
        <w:gridCol w:w="1728"/>
        <w:gridCol w:w="5040"/>
        <w:gridCol w:w="3312"/>
      </w:tblGrid>
      <w:tr>
        <w:trPr>
          <w:tblHeader w:val="true"/>
          <w:cantSplit/>
        </w:trPr>
        <w:tc>
          <w:tcPr>
            <w:tcW w:type="dxa" w:w="3389"/>
            <w:shd w:fill="142338"/>
            <w:tcMar>
              <w:top w:w="85" w:type="dxa"/>
              <w:start w:w="90" w:type="dxa"/>
              <w:bottom w:w="85" w:type="dxa"/>
              <w:end w:w="90" w:type="dxa"/>
            </w:tcMar>
            <w:vAlign w:val="center"/>
          </w:tcPr>
          <w:p>
            <w:pPr>
              <w:spacing w:after="0"/>
            </w:pPr>
            <w:r>
              <w:rPr>
                <w:rFonts w:ascii="Aptos" w:hAnsi="Aptos"/>
                <w:b/>
                <w:color w:val="FFFFFF"/>
                <w:sz w:val="14"/>
              </w:rPr>
              <w:t>Entity</w:t>
            </w:r>
          </w:p>
        </w:tc>
        <w:tc>
          <w:tcPr>
            <w:tcW w:type="dxa" w:w="3389"/>
            <w:shd w:fill="142338"/>
            <w:tcMar>
              <w:top w:w="85" w:type="dxa"/>
              <w:start w:w="90" w:type="dxa"/>
              <w:bottom w:w="85" w:type="dxa"/>
              <w:end w:w="90" w:type="dxa"/>
            </w:tcMar>
            <w:vAlign w:val="center"/>
          </w:tcPr>
          <w:p>
            <w:pPr>
              <w:spacing w:after="0"/>
            </w:pPr>
            <w:r>
              <w:rPr>
                <w:rFonts w:ascii="Aptos" w:hAnsi="Aptos"/>
                <w:b/>
                <w:color w:val="FFFFFF"/>
                <w:sz w:val="14"/>
              </w:rPr>
              <w:t>Minimum fields</w:t>
            </w:r>
          </w:p>
        </w:tc>
        <w:tc>
          <w:tcPr>
            <w:tcW w:type="dxa" w:w="3389"/>
            <w:shd w:fill="142338"/>
            <w:tcMar>
              <w:top w:w="85" w:type="dxa"/>
              <w:start w:w="90" w:type="dxa"/>
              <w:bottom w:w="85" w:type="dxa"/>
              <w:end w:w="90" w:type="dxa"/>
            </w:tcMar>
            <w:vAlign w:val="center"/>
          </w:tcPr>
          <w:p>
            <w:pPr>
              <w:spacing w:after="0"/>
            </w:pPr>
            <w:r>
              <w:rPr>
                <w:rFonts w:ascii="Aptos" w:hAnsi="Aptos"/>
                <w:b/>
                <w:color w:val="FFFFFF"/>
                <w:sz w:val="14"/>
              </w:rPr>
              <w:t>Purpose</w:t>
            </w:r>
          </w:p>
        </w:tc>
      </w:tr>
      <w:tr>
        <w:trPr>
          <w:cantSplit/>
        </w:trPr>
        <w:tc>
          <w:tcPr>
            <w:tcW w:type="dxa" w:w="1728"/>
            <w:tcMar>
              <w:top w:w="75" w:type="dxa"/>
              <w:start w:w="90" w:type="dxa"/>
              <w:bottom w:w="75" w:type="dxa"/>
              <w:end w:w="90" w:type="dxa"/>
            </w:tcMar>
            <w:vAlign w:val="top"/>
          </w:tcPr>
          <w:p>
            <w:pPr>
              <w:spacing w:after="0" w:line="240" w:lineRule="auto"/>
            </w:pPr>
            <w:r>
              <w:rPr>
                <w:rFonts w:ascii="Aptos" w:hAnsi="Aptos"/>
                <w:color w:val="182638"/>
                <w:sz w:val="14"/>
              </w:rPr>
              <w:t>Zone / exposure cell</w:t>
            </w:r>
          </w:p>
        </w:tc>
        <w:tc>
          <w:tcPr>
            <w:tcW w:type="dxa" w:w="5040"/>
            <w:tcMar>
              <w:top w:w="75" w:type="dxa"/>
              <w:start w:w="90" w:type="dxa"/>
              <w:bottom w:w="75" w:type="dxa"/>
              <w:end w:w="90" w:type="dxa"/>
            </w:tcMar>
            <w:vAlign w:val="top"/>
          </w:tcPr>
          <w:p>
            <w:pPr>
              <w:spacing w:after="0" w:line="240" w:lineRule="auto"/>
            </w:pPr>
            <w:r>
              <w:rPr>
                <w:rFonts w:ascii="Aptos" w:hAnsi="Aptos"/>
                <w:color w:val="182638"/>
                <w:sz w:val="14"/>
              </w:rPr>
              <w:t>zone_id, geometry, ward/catchment, population_weight if verified, terrain features when available, flood-spot proximity, provenance IDs</w:t>
            </w:r>
          </w:p>
        </w:tc>
        <w:tc>
          <w:tcPr>
            <w:tcW w:type="dxa" w:w="3312"/>
            <w:tcMar>
              <w:top w:w="75" w:type="dxa"/>
              <w:start w:w="90" w:type="dxa"/>
              <w:bottom w:w="75" w:type="dxa"/>
              <w:end w:w="90" w:type="dxa"/>
            </w:tcMar>
            <w:vAlign w:val="top"/>
          </w:tcPr>
          <w:p>
            <w:pPr>
              <w:spacing w:after="0" w:line="240" w:lineRule="auto"/>
            </w:pPr>
            <w:r>
              <w:rPr>
                <w:rFonts w:ascii="Aptos" w:hAnsi="Aptos"/>
                <w:color w:val="182638"/>
                <w:sz w:val="14"/>
              </w:rPr>
              <w:t>Unit for horizon risk and aggregate exposure.</w:t>
            </w:r>
          </w:p>
        </w:tc>
      </w:tr>
      <w:tr>
        <w:trPr>
          <w:cantSplit/>
        </w:trPr>
        <w:tc>
          <w:tcPr>
            <w:tcW w:type="dxa" w:w="1728"/>
            <w:tcMar>
              <w:top w:w="75" w:type="dxa"/>
              <w:start w:w="90" w:type="dxa"/>
              <w:bottom w:w="75" w:type="dxa"/>
              <w:end w:w="90" w:type="dxa"/>
            </w:tcMar>
            <w:vAlign w:val="top"/>
            <w:shd w:fill="F4F7F9"/>
          </w:tcPr>
          <w:p>
            <w:pPr>
              <w:spacing w:after="0" w:line="240" w:lineRule="auto"/>
            </w:pPr>
            <w:r>
              <w:rPr>
                <w:rFonts w:ascii="Aptos" w:hAnsi="Aptos"/>
                <w:color w:val="182638"/>
                <w:sz w:val="14"/>
              </w:rPr>
              <w:t>RainfallObservation</w:t>
            </w:r>
          </w:p>
        </w:tc>
        <w:tc>
          <w:tcPr>
            <w:tcW w:type="dxa" w:w="5040"/>
            <w:tcMar>
              <w:top w:w="75" w:type="dxa"/>
              <w:start w:w="90" w:type="dxa"/>
              <w:bottom w:w="75" w:type="dxa"/>
              <w:end w:w="90" w:type="dxa"/>
            </w:tcMar>
            <w:vAlign w:val="top"/>
            <w:shd w:fill="F4F7F9"/>
          </w:tcPr>
          <w:p>
            <w:pPr>
              <w:spacing w:after="0" w:line="240" w:lineRule="auto"/>
            </w:pPr>
            <w:r>
              <w:rPr>
                <w:rFonts w:ascii="Aptos" w:hAnsi="Aptos"/>
                <w:color w:val="182638"/>
                <w:sz w:val="14"/>
              </w:rPr>
              <w:t>station_id, observed_at, ingested_at, rainfall_mm, units, source_id, quality flag</w:t>
            </w:r>
          </w:p>
        </w:tc>
        <w:tc>
          <w:tcPr>
            <w:tcW w:type="dxa" w:w="3312"/>
            <w:tcMar>
              <w:top w:w="75" w:type="dxa"/>
              <w:start w:w="90" w:type="dxa"/>
              <w:bottom w:w="75" w:type="dxa"/>
              <w:end w:w="90" w:type="dxa"/>
            </w:tcMar>
            <w:vAlign w:val="top"/>
            <w:shd w:fill="F4F7F9"/>
          </w:tcPr>
          <w:p>
            <w:pPr>
              <w:spacing w:after="0" w:line="240" w:lineRule="auto"/>
            </w:pPr>
            <w:r>
              <w:rPr>
                <w:rFonts w:ascii="Aptos" w:hAnsi="Aptos"/>
                <w:color w:val="182638"/>
                <w:sz w:val="14"/>
              </w:rPr>
              <w:t>Observed station time series; never silently treat forecast as observed.</w:t>
            </w:r>
          </w:p>
        </w:tc>
      </w:tr>
      <w:tr>
        <w:trPr>
          <w:cantSplit/>
        </w:trPr>
        <w:tc>
          <w:tcPr>
            <w:tcW w:type="dxa" w:w="1728"/>
            <w:tcMar>
              <w:top w:w="75" w:type="dxa"/>
              <w:start w:w="90" w:type="dxa"/>
              <w:bottom w:w="75" w:type="dxa"/>
              <w:end w:w="90" w:type="dxa"/>
            </w:tcMar>
            <w:vAlign w:val="top"/>
          </w:tcPr>
          <w:p>
            <w:pPr>
              <w:spacing w:after="0" w:line="240" w:lineRule="auto"/>
            </w:pPr>
            <w:r>
              <w:rPr>
                <w:rFonts w:ascii="Aptos" w:hAnsi="Aptos"/>
                <w:color w:val="182638"/>
                <w:sz w:val="14"/>
              </w:rPr>
              <w:t>RainfallForecast</w:t>
            </w:r>
          </w:p>
        </w:tc>
        <w:tc>
          <w:tcPr>
            <w:tcW w:type="dxa" w:w="5040"/>
            <w:tcMar>
              <w:top w:w="75" w:type="dxa"/>
              <w:start w:w="90" w:type="dxa"/>
              <w:bottom w:w="75" w:type="dxa"/>
              <w:end w:w="90" w:type="dxa"/>
            </w:tcMar>
            <w:vAlign w:val="top"/>
          </w:tcPr>
          <w:p>
            <w:pPr>
              <w:spacing w:after="0" w:line="240" w:lineRule="auto"/>
            </w:pPr>
            <w:r>
              <w:rPr>
                <w:rFonts w:ascii="Aptos" w:hAnsi="Aptos"/>
                <w:color w:val="182638"/>
                <w:sz w:val="14"/>
              </w:rPr>
              <w:t>location/zone_id, issue_time, valid_time, precipitation_mm, model, source_id</w:t>
            </w:r>
          </w:p>
        </w:tc>
        <w:tc>
          <w:tcPr>
            <w:tcW w:type="dxa" w:w="3312"/>
            <w:tcMar>
              <w:top w:w="75" w:type="dxa"/>
              <w:start w:w="90" w:type="dxa"/>
              <w:bottom w:w="75" w:type="dxa"/>
              <w:end w:w="90" w:type="dxa"/>
            </w:tcMar>
            <w:vAlign w:val="top"/>
          </w:tcPr>
          <w:p>
            <w:pPr>
              <w:spacing w:after="0" w:line="240" w:lineRule="auto"/>
            </w:pPr>
            <w:r>
              <w:rPr>
                <w:rFonts w:ascii="Aptos" w:hAnsi="Aptos"/>
                <w:color w:val="182638"/>
                <w:sz w:val="14"/>
              </w:rPr>
              <w:t>Future forcing with issue/valid time so temporal leakage can be detected.</w:t>
            </w:r>
          </w:p>
        </w:tc>
      </w:tr>
      <w:tr>
        <w:trPr>
          <w:cantSplit/>
        </w:trPr>
        <w:tc>
          <w:tcPr>
            <w:tcW w:type="dxa" w:w="1728"/>
            <w:tcMar>
              <w:top w:w="75" w:type="dxa"/>
              <w:start w:w="90" w:type="dxa"/>
              <w:bottom w:w="75" w:type="dxa"/>
              <w:end w:w="90" w:type="dxa"/>
            </w:tcMar>
            <w:vAlign w:val="top"/>
            <w:shd w:fill="F4F7F9"/>
          </w:tcPr>
          <w:p>
            <w:pPr>
              <w:spacing w:after="0" w:line="240" w:lineRule="auto"/>
            </w:pPr>
            <w:r>
              <w:rPr>
                <w:rFonts w:ascii="Aptos" w:hAnsi="Aptos"/>
                <w:color w:val="182638"/>
                <w:sz w:val="14"/>
              </w:rPr>
              <w:t>RoadEdge</w:t>
            </w:r>
          </w:p>
        </w:tc>
        <w:tc>
          <w:tcPr>
            <w:tcW w:type="dxa" w:w="5040"/>
            <w:tcMar>
              <w:top w:w="75" w:type="dxa"/>
              <w:start w:w="90" w:type="dxa"/>
              <w:bottom w:w="75" w:type="dxa"/>
              <w:end w:w="90" w:type="dxa"/>
            </w:tcMar>
            <w:vAlign w:val="top"/>
            <w:shd w:fill="F4F7F9"/>
          </w:tcPr>
          <w:p>
            <w:pPr>
              <w:spacing w:after="0" w:line="240" w:lineRule="auto"/>
            </w:pPr>
            <w:r>
              <w:rPr>
                <w:rFonts w:ascii="Aptos" w:hAnsi="Aptos"/>
                <w:color w:val="182638"/>
                <w:sz w:val="14"/>
              </w:rPr>
              <w:t>edge_id, geometry, length, road class, baseline cost, hazard exposure score, data provenance</w:t>
            </w:r>
          </w:p>
        </w:tc>
        <w:tc>
          <w:tcPr>
            <w:tcW w:type="dxa" w:w="3312"/>
            <w:tcMar>
              <w:top w:w="75" w:type="dxa"/>
              <w:start w:w="90" w:type="dxa"/>
              <w:bottom w:w="75" w:type="dxa"/>
              <w:end w:w="90" w:type="dxa"/>
            </w:tcMar>
            <w:vAlign w:val="top"/>
            <w:shd w:fill="F4F7F9"/>
          </w:tcPr>
          <w:p>
            <w:pPr>
              <w:spacing w:after="0" w:line="240" w:lineRule="auto"/>
            </w:pPr>
            <w:r>
              <w:rPr>
                <w:rFonts w:ascii="Aptos" w:hAnsi="Aptos"/>
                <w:color w:val="182638"/>
                <w:sz w:val="14"/>
              </w:rPr>
              <w:t>Spatial/graph link that may become unreliable in a scenario.</w:t>
            </w:r>
          </w:p>
        </w:tc>
      </w:tr>
      <w:tr>
        <w:trPr>
          <w:cantSplit/>
        </w:trPr>
        <w:tc>
          <w:tcPr>
            <w:tcW w:type="dxa" w:w="1728"/>
            <w:tcMar>
              <w:top w:w="75" w:type="dxa"/>
              <w:start w:w="90" w:type="dxa"/>
              <w:bottom w:w="75" w:type="dxa"/>
              <w:end w:w="90" w:type="dxa"/>
            </w:tcMar>
            <w:vAlign w:val="top"/>
          </w:tcPr>
          <w:p>
            <w:pPr>
              <w:spacing w:after="0" w:line="240" w:lineRule="auto"/>
            </w:pPr>
            <w:r>
              <w:rPr>
                <w:rFonts w:ascii="Aptos" w:hAnsi="Aptos"/>
                <w:color w:val="182638"/>
                <w:sz w:val="14"/>
              </w:rPr>
              <w:t>Facility</w:t>
            </w:r>
          </w:p>
        </w:tc>
        <w:tc>
          <w:tcPr>
            <w:tcW w:type="dxa" w:w="5040"/>
            <w:tcMar>
              <w:top w:w="75" w:type="dxa"/>
              <w:start w:w="90" w:type="dxa"/>
              <w:bottom w:w="75" w:type="dxa"/>
              <w:end w:w="90" w:type="dxa"/>
            </w:tcMar>
            <w:vAlign w:val="top"/>
          </w:tcPr>
          <w:p>
            <w:pPr>
              <w:spacing w:after="0" w:line="240" w:lineRule="auto"/>
            </w:pPr>
            <w:r>
              <w:rPr>
                <w:rFonts w:ascii="Aptos" w:hAnsi="Aptos"/>
                <w:color w:val="182638"/>
                <w:sz w:val="14"/>
              </w:rPr>
              <w:t>facility_id, type, geometry, source ID, source freshness</w:t>
            </w:r>
          </w:p>
        </w:tc>
        <w:tc>
          <w:tcPr>
            <w:tcW w:type="dxa" w:w="3312"/>
            <w:tcMar>
              <w:top w:w="75" w:type="dxa"/>
              <w:start w:w="90" w:type="dxa"/>
              <w:bottom w:w="75" w:type="dxa"/>
              <w:end w:w="90" w:type="dxa"/>
            </w:tcMar>
            <w:vAlign w:val="top"/>
          </w:tcPr>
          <w:p>
            <w:pPr>
              <w:spacing w:after="0" w:line="240" w:lineRule="auto"/>
            </w:pPr>
            <w:r>
              <w:rPr>
                <w:rFonts w:ascii="Aptos" w:hAnsi="Aptos"/>
                <w:color w:val="182638"/>
                <w:sz w:val="14"/>
              </w:rPr>
              <w:t>Hospital, fire station, temporary shelter, or other mapped public facility.</w:t>
            </w:r>
          </w:p>
        </w:tc>
      </w:tr>
      <w:tr>
        <w:trPr>
          <w:cantSplit/>
        </w:trPr>
        <w:tc>
          <w:tcPr>
            <w:tcW w:type="dxa" w:w="1728"/>
            <w:tcMar>
              <w:top w:w="75" w:type="dxa"/>
              <w:start w:w="90" w:type="dxa"/>
              <w:bottom w:w="75" w:type="dxa"/>
              <w:end w:w="90" w:type="dxa"/>
            </w:tcMar>
            <w:vAlign w:val="top"/>
            <w:shd w:fill="F4F7F9"/>
          </w:tcPr>
          <w:p>
            <w:pPr>
              <w:spacing w:after="0" w:line="240" w:lineRule="auto"/>
            </w:pPr>
            <w:r>
              <w:rPr>
                <w:rFonts w:ascii="Aptos" w:hAnsi="Aptos"/>
                <w:color w:val="182638"/>
                <w:sz w:val="14"/>
              </w:rPr>
              <w:t>SettlementExposure</w:t>
            </w:r>
          </w:p>
        </w:tc>
        <w:tc>
          <w:tcPr>
            <w:tcW w:type="dxa" w:w="5040"/>
            <w:tcMar>
              <w:top w:w="75" w:type="dxa"/>
              <w:start w:w="90" w:type="dxa"/>
              <w:bottom w:w="75" w:type="dxa"/>
              <w:end w:w="90" w:type="dxa"/>
            </w:tcMar>
            <w:vAlign w:val="top"/>
            <w:shd w:fill="F4F7F9"/>
          </w:tcPr>
          <w:p>
            <w:pPr>
              <w:spacing w:after="0" w:line="240" w:lineRule="auto"/>
            </w:pPr>
            <w:r>
              <w:rPr>
                <w:rFonts w:ascii="Aptos" w:hAnsi="Aptos"/>
                <w:color w:val="182638"/>
                <w:sz w:val="14"/>
              </w:rPr>
              <w:t>settlement_id, geometry, aggregate population weight, source epoch, sensitivity level</w:t>
            </w:r>
          </w:p>
        </w:tc>
        <w:tc>
          <w:tcPr>
            <w:tcW w:type="dxa" w:w="3312"/>
            <w:tcMar>
              <w:top w:w="75" w:type="dxa"/>
              <w:start w:w="90" w:type="dxa"/>
              <w:bottom w:w="75" w:type="dxa"/>
              <w:end w:w="90" w:type="dxa"/>
            </w:tcMar>
            <w:vAlign w:val="top"/>
            <w:shd w:fill="F4F7F9"/>
          </w:tcPr>
          <w:p>
            <w:pPr>
              <w:spacing w:after="0" w:line="240" w:lineRule="auto"/>
            </w:pPr>
            <w:r>
              <w:rPr>
                <w:rFonts w:ascii="Aptos" w:hAnsi="Aptos"/>
                <w:color w:val="182638"/>
                <w:sz w:val="14"/>
              </w:rPr>
              <w:t>Aggregate exposure only; no personal identifiers.</w:t>
            </w:r>
          </w:p>
        </w:tc>
      </w:tr>
      <w:tr>
        <w:trPr>
          <w:cantSplit/>
        </w:trPr>
        <w:tc>
          <w:tcPr>
            <w:tcW w:type="dxa" w:w="1728"/>
            <w:tcMar>
              <w:top w:w="75" w:type="dxa"/>
              <w:start w:w="90" w:type="dxa"/>
              <w:bottom w:w="75" w:type="dxa"/>
              <w:end w:w="90" w:type="dxa"/>
            </w:tcMar>
            <w:vAlign w:val="top"/>
          </w:tcPr>
          <w:p>
            <w:pPr>
              <w:spacing w:after="0" w:line="240" w:lineRule="auto"/>
            </w:pPr>
            <w:r>
              <w:rPr>
                <w:rFonts w:ascii="Aptos" w:hAnsi="Aptos"/>
                <w:color w:val="182638"/>
                <w:sz w:val="14"/>
              </w:rPr>
              <w:t>ScenarioEvent</w:t>
            </w:r>
          </w:p>
        </w:tc>
        <w:tc>
          <w:tcPr>
            <w:tcW w:type="dxa" w:w="5040"/>
            <w:tcMar>
              <w:top w:w="75" w:type="dxa"/>
              <w:start w:w="90" w:type="dxa"/>
              <w:bottom w:w="75" w:type="dxa"/>
              <w:end w:w="90" w:type="dxa"/>
            </w:tcMar>
            <w:vAlign w:val="top"/>
          </w:tcPr>
          <w:p>
            <w:pPr>
              <w:spacing w:after="0" w:line="240" w:lineRule="auto"/>
            </w:pPr>
            <w:r>
              <w:rPr>
                <w:rFonts w:ascii="Aptos" w:hAnsi="Aptos"/>
                <w:color w:val="182638"/>
                <w:sz w:val="14"/>
              </w:rPr>
              <w:t>event_id, event_time, received_time, source_id, event_type, reliability, payload hash</w:t>
            </w:r>
          </w:p>
        </w:tc>
        <w:tc>
          <w:tcPr>
            <w:tcW w:type="dxa" w:w="3312"/>
            <w:tcMar>
              <w:top w:w="75" w:type="dxa"/>
              <w:start w:w="90" w:type="dxa"/>
              <w:bottom w:w="75" w:type="dxa"/>
              <w:end w:w="90" w:type="dxa"/>
            </w:tcMar>
            <w:vAlign w:val="top"/>
          </w:tcPr>
          <w:p>
            <w:pPr>
              <w:spacing w:after="0" w:line="240" w:lineRule="auto"/>
            </w:pPr>
            <w:r>
              <w:rPr>
                <w:rFonts w:ascii="Aptos" w:hAnsi="Aptos"/>
                <w:color w:val="182638"/>
                <w:sz w:val="14"/>
              </w:rPr>
              <w:t>Dedupe / reorder reports; preserve late arrivals and source provenance.</w:t>
            </w:r>
          </w:p>
        </w:tc>
      </w:tr>
      <w:tr>
        <w:trPr>
          <w:cantSplit/>
        </w:trPr>
        <w:tc>
          <w:tcPr>
            <w:tcW w:type="dxa" w:w="1728"/>
            <w:tcMar>
              <w:top w:w="75" w:type="dxa"/>
              <w:start w:w="90" w:type="dxa"/>
              <w:bottom w:w="75" w:type="dxa"/>
              <w:end w:w="90" w:type="dxa"/>
            </w:tcMar>
            <w:vAlign w:val="top"/>
            <w:shd w:fill="F4F7F9"/>
          </w:tcPr>
          <w:p>
            <w:pPr>
              <w:spacing w:after="0" w:line="240" w:lineRule="auto"/>
            </w:pPr>
            <w:r>
              <w:rPr>
                <w:rFonts w:ascii="Aptos" w:hAnsi="Aptos"/>
                <w:color w:val="182638"/>
                <w:sz w:val="14"/>
              </w:rPr>
              <w:t>PredictionReceipt</w:t>
            </w:r>
          </w:p>
        </w:tc>
        <w:tc>
          <w:tcPr>
            <w:tcW w:type="dxa" w:w="5040"/>
            <w:tcMar>
              <w:top w:w="75" w:type="dxa"/>
              <w:start w:w="90" w:type="dxa"/>
              <w:bottom w:w="75" w:type="dxa"/>
              <w:end w:w="90" w:type="dxa"/>
            </w:tcMar>
            <w:vAlign w:val="top"/>
            <w:shd w:fill="F4F7F9"/>
          </w:tcPr>
          <w:p>
            <w:pPr>
              <w:spacing w:after="0" w:line="240" w:lineRule="auto"/>
            </w:pPr>
            <w:r>
              <w:rPr>
                <w:rFonts w:ascii="Aptos" w:hAnsi="Aptos"/>
                <w:color w:val="182638"/>
                <w:sz w:val="14"/>
              </w:rPr>
              <w:t>run_id, horizon, zone_id, risk_state, score, confidence, drivers[], causal_path[], assumptions[], input_snapshot_ids[]</w:t>
            </w:r>
          </w:p>
        </w:tc>
        <w:tc>
          <w:tcPr>
            <w:tcW w:type="dxa" w:w="3312"/>
            <w:tcMar>
              <w:top w:w="75" w:type="dxa"/>
              <w:start w:w="90" w:type="dxa"/>
              <w:bottom w:w="75" w:type="dxa"/>
              <w:end w:w="90" w:type="dxa"/>
            </w:tcMar>
            <w:vAlign w:val="top"/>
            <w:shd w:fill="F4F7F9"/>
          </w:tcPr>
          <w:p>
            <w:pPr>
              <w:spacing w:after="0" w:line="240" w:lineRule="auto"/>
            </w:pPr>
            <w:r>
              <w:rPr>
                <w:rFonts w:ascii="Aptos" w:hAnsi="Aptos"/>
                <w:color w:val="182638"/>
                <w:sz w:val="14"/>
              </w:rPr>
              <w:t>Auditable explanation returned to UI.</w:t>
            </w:r>
          </w:p>
        </w:tc>
      </w:tr>
      <w:tr>
        <w:trPr>
          <w:cantSplit/>
        </w:trPr>
        <w:tc>
          <w:tcPr>
            <w:tcW w:type="dxa" w:w="1728"/>
            <w:tcMar>
              <w:top w:w="75" w:type="dxa"/>
              <w:start w:w="90" w:type="dxa"/>
              <w:bottom w:w="75" w:type="dxa"/>
              <w:end w:w="90" w:type="dxa"/>
            </w:tcMar>
            <w:vAlign w:val="top"/>
          </w:tcPr>
          <w:p>
            <w:pPr>
              <w:spacing w:after="0" w:line="240" w:lineRule="auto"/>
            </w:pPr>
            <w:r>
              <w:rPr>
                <w:rFonts w:ascii="Aptos" w:hAnsi="Aptos"/>
                <w:color w:val="182638"/>
                <w:sz w:val="14"/>
              </w:rPr>
              <w:t>InterventionPlan</w:t>
            </w:r>
          </w:p>
        </w:tc>
        <w:tc>
          <w:tcPr>
            <w:tcW w:type="dxa" w:w="5040"/>
            <w:tcMar>
              <w:top w:w="75" w:type="dxa"/>
              <w:start w:w="90" w:type="dxa"/>
              <w:bottom w:w="75" w:type="dxa"/>
              <w:end w:w="90" w:type="dxa"/>
            </w:tcMar>
            <w:vAlign w:val="top"/>
          </w:tcPr>
          <w:p>
            <w:pPr>
              <w:spacing w:after="0" w:line="240" w:lineRule="auto"/>
            </w:pPr>
            <w:r>
              <w:rPr>
                <w:rFonts w:ascii="Aptos" w:hAnsi="Aptos"/>
                <w:color w:val="182638"/>
                <w:sz w:val="14"/>
              </w:rPr>
              <w:t>plan_id, resource_budget, candidate_sites[], cost assumptions, baseline metric, scenario metric, delta, side_effects[]</w:t>
            </w:r>
          </w:p>
        </w:tc>
        <w:tc>
          <w:tcPr>
            <w:tcW w:type="dxa" w:w="3312"/>
            <w:tcMar>
              <w:top w:w="75" w:type="dxa"/>
              <w:start w:w="90" w:type="dxa"/>
              <w:bottom w:w="75" w:type="dxa"/>
              <w:end w:w="90" w:type="dxa"/>
            </w:tcMar>
            <w:vAlign w:val="top"/>
          </w:tcPr>
          <w:p>
            <w:pPr>
              <w:spacing w:after="0" w:line="240" w:lineRule="auto"/>
            </w:pPr>
            <w:r>
              <w:rPr>
                <w:rFonts w:ascii="Aptos" w:hAnsi="Aptos"/>
                <w:color w:val="182638"/>
                <w:sz w:val="14"/>
              </w:rPr>
              <w:t>Reproducible counterfactual output.</w:t>
            </w:r>
          </w:p>
        </w:tc>
      </w:tr>
    </w:tbl>
    <w:p>
      <w:pPr>
        <w:spacing w:before="0" w:after="0" w:line="20" w:lineRule="exact"/>
      </w:pPr>
    </w:p>
    <w:p>
      <w:pPr>
        <w:pStyle w:val="Heading2"/>
        <w:keepNext/>
      </w:pPr>
      <w:r>
        <w:rPr>
          <w:rFonts w:ascii="Aptos" w:hAnsi="Aptos"/>
          <w:b/>
          <w:color w:val="0F9D91"/>
          <w:sz w:val="26"/>
        </w:rPr>
        <w:t>6.3 Forecast horizons and risk categories</w:t>
      </w:r>
    </w:p>
    <w:p>
      <w:pPr>
        <w:spacing w:before="0" w:after="100" w:line="252" w:lineRule="auto"/>
      </w:pPr>
      <w:r>
        <w:rPr>
          <w:rFonts w:ascii="Aptos" w:hAnsi="Aptos"/>
          <w:i w:val="0"/>
        </w:rPr>
        <w:t>Use standard horizons 1, 3, 6, 12, 24, 48 and 72 hours. The requested brief says “from the next hour to 72 hours ahead”; regular buckets make the visual timeline and backtest easy. Every zone gets a current state and a trajectory over horizons. The city summary can report highest-risk zones, total mapped facilities exposed and population-weighted access loss.</w:t>
      </w:r>
    </w:p>
    <w:p>
      <w:pPr>
        <w:spacing w:before="0" w:after="100" w:line="252" w:lineRule="auto"/>
      </w:pPr>
      <w:r>
        <w:rPr>
          <w:rFonts w:ascii="Aptos" w:hAnsi="Aptos"/>
          <w:i w:val="0"/>
          <w:sz w:val="17"/>
        </w:rPr>
        <w:t>Use NORMAL / WATCH / HIGH RISK / CRITICAL as required by PS 2.2. If you only have a heuristic susceptibility index, these are ordinal levels based on documented cutoffs; do not label them “72% chance of flood.” Calibrated probabilities require historical labeled targets and a proper temporal validation experiment.</w:t>
      </w:r>
    </w:p>
    <w:p>
      <w:pPr>
        <w:pStyle w:val="Heading2"/>
        <w:keepNext/>
      </w:pPr>
      <w:r>
        <w:rPr>
          <w:rFonts w:ascii="Aptos" w:hAnsi="Aptos"/>
          <w:b/>
          <w:color w:val="0F9D91"/>
          <w:sz w:val="26"/>
        </w:rPr>
        <w:t>6.4 Hazard scoring: transparent, not fake precision</w:t>
      </w:r>
    </w:p>
    <w:p>
      <w:pPr>
        <w:spacing w:before="0" w:after="100" w:line="252" w:lineRule="auto"/>
      </w:pPr>
      <w:r>
        <w:rPr>
          <w:rFonts w:ascii="Aptos" w:hAnsi="Aptos"/>
          <w:i w:val="0"/>
        </w:rPr>
        <w:t>For each zone z and horizon t, compute a normalized Hazard Pressure Score H(z,t) from variables that actually exist in the downloaded sources. Candidate inputs are forecast accumulated rainfall over 1/3/6/24/48/72 hours; an antecedent-rainfall index; proximity to mapped flood spots; relative elevation/contour context if available; and proximity to drainage/flow lines where mapped. Drop a variable if the source is missing, and lower the source-coverage confidence rather than filling it with an invented value.</w:t>
      </w:r>
    </w:p>
    <w:tbl>
      <w:tblPr>
        <w:tblW w:type="auto" w:w="0"/>
        <w:jc w:val="center"/>
        <w:tblLayout w:type="fixed"/>
        <w:tblLook w:firstColumn="1" w:firstRow="1" w:lastColumn="0" w:lastRow="0" w:noHBand="0" w:noVBand="1" w:val="04A0"/>
      </w:tblPr>
      <w:tblGrid>
        <w:gridCol w:w="9936"/>
      </w:tblGrid>
      <w:tr>
        <w:tc>
          <w:tcPr>
            <w:tcW w:type="dxa" w:w="10166"/>
            <w:shd w:fill="EAF1F8"/>
            <w:tcMar>
              <w:top w:w="140" w:type="dxa"/>
              <w:start w:w="180" w:type="dxa"/>
              <w:bottom w:w="140" w:type="dxa"/>
              <w:end w:w="180" w:type="dxa"/>
            </w:tcMar>
          </w:tcPr>
          <w:p>
            <w:pPr>
              <w:spacing w:after="80"/>
            </w:pPr>
            <w:r>
              <w:rPr>
                <w:rFonts w:ascii="Aptos" w:hAnsi="Aptos"/>
                <w:b/>
                <w:color w:val="4678B8"/>
                <w:sz w:val="21"/>
              </w:rPr>
              <w:t>INITIAL SCORE TEMPLATE (NOT A CALIBRATED MODEL)</w:t>
            </w:r>
          </w:p>
          <w:p>
            <w:pPr>
              <w:spacing w:after="0" w:line="252" w:lineRule="auto"/>
            </w:pPr>
            <w:r>
              <w:rPr>
                <w:rFonts w:ascii="Aptos" w:hAnsi="Aptos"/>
                <w:color w:val="182638"/>
                <w:sz w:val="18"/>
              </w:rPr>
              <w:t>H(z,t) = normalized weighted combination of rainfall forcing + antecedent wetness + historical flood exposure + lowland/terrain exposure + mapped drainage context.</w:t>
              <w:br/>
              <w:t>Initial weights are engineering priors, not scientifically estimated coefficients. Store the weights in a config file, run a ±20% sensitivity check, and show the primary risk drivers. If labels are unavailable, call H a relative hazard score.</w:t>
            </w:r>
          </w:p>
        </w:tc>
      </w:tr>
    </w:tbl>
    <w:p>
      <w:pPr>
        <w:spacing w:after="0"/>
      </w:pPr>
    </w:p>
    <w:p>
      <w:pPr>
        <w:pStyle w:val="Heading2"/>
        <w:keepNext/>
      </w:pPr>
      <w:r>
        <w:rPr>
          <w:rFonts w:ascii="Aptos" w:hAnsi="Aptos"/>
          <w:b/>
          <w:color w:val="0F9D91"/>
          <w:sz w:val="26"/>
        </w:rPr>
        <w:t>6.5 From hazard to a cascade graph</w:t>
      </w:r>
    </w:p>
    <w:p>
      <w:pPr>
        <w:keepLines/>
        <w:spacing w:after="60" w:line="245" w:lineRule="auto"/>
        <w:ind w:left="432" w:hanging="346"/>
      </w:pPr>
      <w:r>
        <w:rPr>
          <w:rFonts w:ascii="Aptos" w:hAnsi="Aptos"/>
          <w:b/>
          <w:color w:val="0F9D91"/>
          <w:sz w:val="18"/>
        </w:rPr>
        <w:t xml:space="preserve">1. </w:t>
      </w:r>
      <w:r>
        <w:rPr>
          <w:rFonts w:ascii="Aptos" w:hAnsi="Aptos"/>
          <w:b/>
          <w:color w:val="182638"/>
          <w:sz w:val="18"/>
        </w:rPr>
        <w:t xml:space="preserve">Map zone risk to roads. </w:t>
      </w:r>
      <w:r>
        <w:rPr>
          <w:rFonts w:ascii="Aptos" w:hAnsi="Aptos"/>
          <w:color w:val="182638"/>
          <w:sz w:val="18"/>
        </w:rPr>
        <w:t>Spatially intersect or buffer flood-spot/lowland polygons against road edges. Assign each road a time-varying exposure score based on nearby zone risk; preserve the evidence links used to assign it.</w:t>
      </w:r>
    </w:p>
    <w:p>
      <w:pPr>
        <w:keepLines/>
        <w:spacing w:after="60" w:line="245" w:lineRule="auto"/>
        <w:ind w:left="432" w:hanging="346"/>
      </w:pPr>
      <w:r>
        <w:rPr>
          <w:rFonts w:ascii="Aptos" w:hAnsi="Aptos"/>
          <w:b/>
          <w:color w:val="0F9D91"/>
          <w:sz w:val="18"/>
        </w:rPr>
        <w:t xml:space="preserve">2. </w:t>
      </w:r>
      <w:r>
        <w:rPr>
          <w:rFonts w:ascii="Aptos" w:hAnsi="Aptos"/>
          <w:b/>
          <w:color w:val="182638"/>
          <w:sz w:val="18"/>
        </w:rPr>
        <w:t xml:space="preserve">Calculate scenario route costs. </w:t>
      </w:r>
      <w:r>
        <w:rPr>
          <w:rFonts w:ascii="Aptos" w:hAnsi="Aptos"/>
          <w:color w:val="182638"/>
          <w:sz w:val="18"/>
        </w:rPr>
        <w:t>For road edge e use c_e(t) = baseline_cost_e × (1 + λ × exposure_e(t)^p) + closure_penalty_e(t). A road can become high-cost or unavailable if its scenario score crosses a configurable threshold. Because real depth/closures are not in the data, λ, p and thresholds are scenario assumptions, not calibrated flood physics.</w:t>
      </w:r>
    </w:p>
    <w:p>
      <w:pPr>
        <w:keepLines/>
        <w:spacing w:after="60" w:line="245" w:lineRule="auto"/>
        <w:ind w:left="432" w:hanging="346"/>
      </w:pPr>
      <w:r>
        <w:rPr>
          <w:rFonts w:ascii="Aptos" w:hAnsi="Aptos"/>
          <w:b/>
          <w:color w:val="0F9D91"/>
          <w:sz w:val="18"/>
        </w:rPr>
        <w:t xml:space="preserve">3. </w:t>
      </w:r>
      <w:r>
        <w:rPr>
          <w:rFonts w:ascii="Aptos" w:hAnsi="Aptos"/>
          <w:b/>
          <w:color w:val="182638"/>
          <w:sz w:val="18"/>
        </w:rPr>
        <w:t xml:space="preserve">Compute reachability. </w:t>
      </w:r>
      <w:r>
        <w:rPr>
          <w:rFonts w:ascii="Aptos" w:hAnsi="Aptos"/>
          <w:color w:val="182638"/>
          <w:sz w:val="18"/>
        </w:rPr>
        <w:t>Use Dijkstra shortest paths or connected components to estimate access from candidate facilities to aggregate settlements under baseline and stressed road graphs. Do not call estimated route cost a real ETA unless speed assumptions are stated.</w:t>
      </w:r>
    </w:p>
    <w:p>
      <w:pPr>
        <w:keepLines/>
        <w:spacing w:after="60" w:line="245" w:lineRule="auto"/>
        <w:ind w:left="432" w:hanging="346"/>
      </w:pPr>
      <w:r>
        <w:rPr>
          <w:rFonts w:ascii="Aptos" w:hAnsi="Aptos"/>
          <w:b/>
          <w:color w:val="0F9D91"/>
          <w:sz w:val="18"/>
        </w:rPr>
        <w:t xml:space="preserve">4. </w:t>
      </w:r>
      <w:r>
        <w:rPr>
          <w:rFonts w:ascii="Aptos" w:hAnsi="Aptos"/>
          <w:b/>
          <w:color w:val="182638"/>
          <w:sz w:val="18"/>
        </w:rPr>
        <w:t xml:space="preserve">Propagate impact. </w:t>
      </w:r>
      <w:r>
        <w:rPr>
          <w:rFonts w:ascii="Aptos" w:hAnsi="Aptos"/>
          <w:color w:val="182638"/>
          <w:sz w:val="18"/>
        </w:rPr>
        <w:t>For each horizon, calculate which settlements lose access to the nearest selected service and which hospitals/shelters become isolated or less reachable. Aggregate by ward and city.</w:t>
      </w:r>
    </w:p>
    <w:p>
      <w:pPr>
        <w:keepLines/>
        <w:spacing w:after="60" w:line="245" w:lineRule="auto"/>
        <w:ind w:left="432" w:hanging="346"/>
      </w:pPr>
      <w:r>
        <w:rPr>
          <w:rFonts w:ascii="Aptos" w:hAnsi="Aptos"/>
          <w:b/>
          <w:color w:val="0F9D91"/>
          <w:sz w:val="18"/>
        </w:rPr>
        <w:t xml:space="preserve">5. </w:t>
      </w:r>
      <w:r>
        <w:rPr>
          <w:rFonts w:ascii="Aptos" w:hAnsi="Aptos"/>
          <w:b/>
          <w:color w:val="182638"/>
          <w:sz w:val="18"/>
        </w:rPr>
        <w:t xml:space="preserve">Record the cascade receipt. </w:t>
      </w:r>
      <w:r>
        <w:rPr>
          <w:rFonts w:ascii="Aptos" w:hAnsi="Aptos"/>
          <w:color w:val="182638"/>
          <w:sz w:val="18"/>
        </w:rPr>
        <w:t>Save the source features, values, timestamps, assumptions and graph edges that caused the risk to change. This becomes the explanation in the UI.</w:t>
      </w:r>
    </w:p>
    <w:p>
      <w:pPr>
        <w:pStyle w:val="Heading2"/>
        <w:keepNext/>
      </w:pPr>
      <w:r>
        <w:rPr>
          <w:rFonts w:ascii="Aptos" w:hAnsi="Aptos"/>
          <w:b/>
          <w:color w:val="0F9D91"/>
          <w:sz w:val="26"/>
        </w:rPr>
        <w:t>6.6 Counterfactual intervention optimiser</w:t>
      </w:r>
    </w:p>
    <w:p>
      <w:pPr>
        <w:spacing w:before="0" w:after="100" w:line="252" w:lineRule="auto"/>
      </w:pPr>
      <w:r>
        <w:rPr>
          <w:rFonts w:ascii="Aptos" w:hAnsi="Aptos"/>
          <w:i w:val="0"/>
        </w:rPr>
        <w:t>Core action: pre-position a limited number k of reserve response units at candidate existing municipal facilities (e.g., fire stations, temporary shelters, MCGM facilities) so service access is less vulnerable under a forecast storm. This uses mapped geometry and an explicit resource budget; it does not require inventing pump performance curves.</w:t>
      </w:r>
    </w:p>
    <w:p>
      <w:pPr>
        <w:spacing w:before="0" w:after="100" w:line="252" w:lineRule="auto"/>
      </w:pPr>
      <w:r>
        <w:rPr>
          <w:rFonts w:ascii="Aptos" w:hAnsi="Aptos"/>
          <w:i w:val="0"/>
        </w:rPr>
        <w:t>Objective example: minimize J = w1 × population-weighted access loss + w2 × number of high-priority facilities with degraded access + w3 × intervention deployment cost + w4 × modeled side-effect penalty. For the MVP, a greedy algorithm repeatedly selects the candidate site with the largest marginal reduction in J until k resources are allocated. Recompute routes after each selection. NetworkX can supply shortest paths; OR-Tools is optional if a more formal constraint model is needed. [R26-R27]</w:t>
      </w:r>
    </w:p>
    <w:p>
      <w:pPr>
        <w:spacing w:before="0" w:after="100" w:line="252" w:lineRule="auto"/>
      </w:pPr>
      <w:r>
        <w:rPr>
          <w:rFonts w:ascii="Aptos" w:hAnsi="Aptos"/>
          <w:i w:val="0"/>
          <w:sz w:val="17"/>
        </w:rPr>
        <w:t>Optional pump/evacuation interventions are allowed only as scenario controls. If a pump’s risk-reduction effect is not measured in the input data, the user must set an explicit assumed effect and see that assumption in the plan receipt. Evacuation side effects can be represented by a configurable congestion penalty on selected egress roads; do not imply a measured traffic model exists.</w:t>
      </w:r>
    </w:p>
    <w:p>
      <w:pPr>
        <w:pStyle w:val="Heading2"/>
        <w:keepNext/>
      </w:pPr>
      <w:r>
        <w:rPr>
          <w:rFonts w:ascii="Aptos" w:hAnsi="Aptos"/>
          <w:b/>
          <w:color w:val="0F9D91"/>
          <w:sz w:val="26"/>
        </w:rPr>
        <w:t>6.7 Online updates, missing data and correlated failures</w:t>
      </w:r>
    </w:p>
    <w:p>
      <w:pPr>
        <w:pStyle w:val="ListBullet"/>
        <w:spacing w:after="50" w:line="245" w:lineRule="auto"/>
        <w:ind w:left="360" w:hanging="216"/>
      </w:pPr>
      <w:r>
        <w:rPr>
          <w:rFonts w:ascii="Aptos" w:hAnsi="Aptos"/>
          <w:b/>
          <w:color w:val="182638"/>
          <w:sz w:val="18"/>
        </w:rPr>
        <w:t xml:space="preserve">Source state: </w:t>
      </w:r>
      <w:r>
        <w:rPr>
          <w:rFonts w:ascii="Aptos" w:hAnsi="Aptos"/>
          <w:color w:val="182638"/>
          <w:sz w:val="18"/>
        </w:rPr>
        <w:t>each source is FRESH, STALE, MISSING or CONTRADICTORY; track `last_seen`, expected cadence, geographic coverage and provenance.</w:t>
      </w:r>
    </w:p>
    <w:p>
      <w:pPr>
        <w:pStyle w:val="ListBullet"/>
        <w:spacing w:after="50" w:line="245" w:lineRule="auto"/>
        <w:ind w:left="360" w:hanging="216"/>
      </w:pPr>
      <w:r>
        <w:rPr>
          <w:rFonts w:ascii="Aptos" w:hAnsi="Aptos"/>
          <w:b/>
          <w:color w:val="182638"/>
          <w:sz w:val="18"/>
        </w:rPr>
        <w:t xml:space="preserve">Risk update: </w:t>
      </w:r>
      <w:r>
        <w:rPr>
          <w:rFonts w:ascii="Aptos" w:hAnsi="Aptos"/>
          <w:color w:val="182638"/>
          <w:sz w:val="18"/>
        </w:rPr>
        <w:t>when each new rainfall forecast/report arrives, recompute rolling accumulations and zone risk; maintain a rolling seasonal baseline / EWMA so the model can flag a base-rate shift without retraining from scratch.</w:t>
      </w:r>
    </w:p>
    <w:p>
      <w:pPr>
        <w:pStyle w:val="ListBullet"/>
        <w:spacing w:after="50" w:line="245" w:lineRule="auto"/>
        <w:ind w:left="360" w:hanging="216"/>
      </w:pPr>
      <w:r>
        <w:rPr>
          <w:rFonts w:ascii="Aptos" w:hAnsi="Aptos"/>
          <w:b/>
          <w:color w:val="182638"/>
          <w:sz w:val="18"/>
        </w:rPr>
        <w:t xml:space="preserve">Source trust: </w:t>
      </w:r>
      <w:r>
        <w:rPr>
          <w:rFonts w:ascii="Aptos" w:hAnsi="Aptos"/>
          <w:color w:val="182638"/>
          <w:sz w:val="18"/>
        </w:rPr>
        <w:t>downweight a source when it repeatedly disagrees with independent signals or violates expected cadence. A single gateway outage should not be counted as many independent sensor confirmations.</w:t>
      </w:r>
    </w:p>
    <w:p>
      <w:pPr>
        <w:pStyle w:val="ListBullet"/>
        <w:spacing w:after="50" w:line="245" w:lineRule="auto"/>
        <w:ind w:left="360" w:hanging="216"/>
      </w:pPr>
      <w:r>
        <w:rPr>
          <w:rFonts w:ascii="Aptos" w:hAnsi="Aptos"/>
          <w:b/>
          <w:color w:val="182638"/>
          <w:sz w:val="18"/>
        </w:rPr>
        <w:t xml:space="preserve">Confidence: </w:t>
      </w:r>
      <w:r>
        <w:rPr>
          <w:rFonts w:ascii="Aptos" w:hAnsi="Aptos"/>
          <w:color w:val="182638"/>
          <w:sz w:val="18"/>
        </w:rPr>
        <w:t>keep hazard score and confidence separate. Missing data should broaden uncertainty/reduce confidence, not automatically make the risk score lower.</w:t>
      </w:r>
    </w:p>
    <w:p>
      <w:pPr>
        <w:pStyle w:val="ListBullet"/>
        <w:spacing w:after="50" w:line="245" w:lineRule="auto"/>
        <w:ind w:left="360" w:hanging="216"/>
      </w:pPr>
      <w:r>
        <w:rPr>
          <w:rFonts w:ascii="Aptos" w:hAnsi="Aptos"/>
          <w:b/>
          <w:color w:val="182638"/>
          <w:sz w:val="18"/>
        </w:rPr>
        <w:t xml:space="preserve">Red-team test: </w:t>
      </w:r>
      <w:r>
        <w:rPr>
          <w:rFonts w:ascii="Aptos" w:hAnsi="Aptos"/>
          <w:color w:val="182638"/>
          <w:sz w:val="18"/>
        </w:rPr>
        <w:t>inject 60% missing streams, one correlated sensor-group outage, duplicate/late report and one contradictory citizen report. Confirm the UI flags uncertainty and avoids confident unsupported output.</w:t>
      </w:r>
    </w:p>
    <w:p>
      <w:pPr>
        <w:pStyle w:val="Heading2"/>
        <w:keepNext/>
      </w:pPr>
      <w:r>
        <w:rPr>
          <w:rFonts w:ascii="Aptos" w:hAnsi="Aptos"/>
          <w:b/>
          <w:color w:val="0F9D91"/>
          <w:sz w:val="26"/>
        </w:rPr>
        <w:t>6.8 Learning and generalization without GPU dependence</w:t>
      </w:r>
    </w:p>
    <w:p>
      <w:pPr>
        <w:spacing w:before="0" w:after="100" w:line="252" w:lineRule="auto"/>
      </w:pPr>
      <w:r>
        <w:rPr>
          <w:rFonts w:ascii="Aptos" w:hAnsi="Aptos"/>
          <w:i w:val="0"/>
          <w:sz w:val="17"/>
        </w:rPr>
        <w:t>Use persistence or a seasonal baseline first; only as a stretch train a compact tree model or shallow LSTM on the Mumbai 37-station series. The existing repository targets roughly three-hour rainfall, so its results do not validate 72-hour forecasting. For 72 hours, use an archived/current hourly weather forecast as rainfall forcing and propagate the cascade downstream. Implement “online learning” in the MVP as rolling-baseline/source-reliability updates, not supervised retraining without labels; a held-out ward/scenario demonstrates software adaptability, not cross-city calibration.</w:t>
      </w:r>
    </w:p>
    <w:p>
      <w:pPr>
        <w:pStyle w:val="Heading1"/>
        <w:keepNext/>
        <w:pageBreakBefore/>
      </w:pPr>
      <w:r>
        <w:rPr>
          <w:rFonts w:ascii="Aptos" w:hAnsi="Aptos"/>
          <w:b/>
          <w:color w:val="142338"/>
          <w:sz w:val="36"/>
        </w:rPr>
        <w:t>7. 3D interface specification</w:t>
      </w:r>
    </w:p>
    <w:p>
      <w:pPr>
        <w:spacing w:before="0" w:after="100" w:line="252" w:lineRule="auto"/>
      </w:pPr>
      <w:r>
        <w:rPr>
          <w:rFonts w:ascii="Aptos" w:hAnsi="Aptos"/>
          <w:i w:val="0"/>
        </w:rPr>
        <w:t>The interface should make a causal chain and a choice legible in seconds. Keep the visual language restrained: data layers, uncertainty and decisions are the center; no decorative water animation that could be mistaken for measured flood depth.</w:t>
      </w:r>
    </w:p>
    <w:p>
      <w:r>
        <w:drawing>
          <wp:inline xmlns:a="http://schemas.openxmlformats.org/drawingml/2006/main" xmlns:pic="http://schemas.openxmlformats.org/drawingml/2006/picture">
            <wp:extent cx="6400800" cy="3653827"/>
            <wp:docPr id="3" name="Picture 3"/>
            <wp:cNvGraphicFramePr>
              <a:graphicFrameLocks noChangeAspect="1"/>
            </wp:cNvGraphicFramePr>
            <a:graphic>
              <a:graphicData uri="http://schemas.openxmlformats.org/drawingml/2006/picture">
                <pic:pic>
                  <pic:nvPicPr>
                    <pic:cNvPr id="0" name="ui_wireframe.png"/>
                    <pic:cNvPicPr/>
                  </pic:nvPicPr>
                  <pic:blipFill>
                    <a:blip r:embed="rId17"/>
                    <a:stretch>
                      <a:fillRect/>
                    </a:stretch>
                  </pic:blipFill>
                  <pic:spPr>
                    <a:xfrm>
                      <a:off x="0" y="0"/>
                      <a:ext cx="6400800" cy="3653827"/>
                    </a:xfrm>
                    <a:prstGeom prst="rect"/>
                  </pic:spPr>
                </pic:pic>
              </a:graphicData>
            </a:graphic>
          </wp:inline>
        </w:drawing>
      </w:r>
    </w:p>
    <w:p>
      <w:pPr>
        <w:spacing w:before="0" w:after="100" w:line="252" w:lineRule="auto"/>
      </w:pPr>
      <w:r>
        <w:rPr>
          <w:rFonts w:ascii="Aptos" w:hAnsi="Aptos"/>
          <w:i/>
          <w:color w:val="5C6B78"/>
          <w:sz w:val="16"/>
        </w:rPr>
        <w:t>Wireframe concept only. Risk rings, routes and buildings are schematic. The production interface should draw the actual downloaded geometries and indicate when building heights are approximate.</w:t>
      </w:r>
    </w:p>
    <w:p>
      <w:pPr>
        <w:pStyle w:val="Heading2"/>
        <w:keepNext/>
      </w:pPr>
      <w:r>
        <w:rPr>
          <w:rFonts w:ascii="Aptos" w:hAnsi="Aptos"/>
          <w:b/>
          <w:color w:val="0F9D91"/>
          <w:sz w:val="26"/>
        </w:rPr>
        <w:t>7.1 Main layout</w:t>
      </w:r>
    </w:p>
    <w:tbl>
      <w:tblPr>
        <w:tblW w:type="auto" w:w="0"/>
        <w:jc w:val="center"/>
        <w:tblLayout w:type="fixed"/>
        <w:tblLook w:firstColumn="1" w:firstRow="1" w:lastColumn="0" w:lastRow="0" w:noHBand="0" w:noVBand="1" w:val="04A0"/>
      </w:tblPr>
      <w:tblGrid>
        <w:gridCol w:w="1872"/>
        <w:gridCol w:w="4320"/>
        <w:gridCol w:w="3888"/>
      </w:tblGrid>
      <w:tr>
        <w:trPr>
          <w:tblHeader w:val="true"/>
        </w:trPr>
        <w:tc>
          <w:tcPr>
            <w:tcW w:type="dxa" w:w="3389"/>
            <w:shd w:fill="142338"/>
            <w:tcMar>
              <w:top w:w="85" w:type="dxa"/>
              <w:start w:w="90" w:type="dxa"/>
              <w:bottom w:w="85" w:type="dxa"/>
              <w:end w:w="90" w:type="dxa"/>
            </w:tcMar>
            <w:vAlign w:val="center"/>
          </w:tcPr>
          <w:p>
            <w:pPr>
              <w:spacing w:after="0"/>
            </w:pPr>
            <w:r>
              <w:rPr>
                <w:rFonts w:ascii="Aptos" w:hAnsi="Aptos"/>
                <w:b/>
                <w:color w:val="FFFFFF"/>
                <w:sz w:val="15"/>
              </w:rPr>
              <w:t>Panel</w:t>
            </w:r>
          </w:p>
        </w:tc>
        <w:tc>
          <w:tcPr>
            <w:tcW w:type="dxa" w:w="3389"/>
            <w:shd w:fill="142338"/>
            <w:tcMar>
              <w:top w:w="85" w:type="dxa"/>
              <w:start w:w="90" w:type="dxa"/>
              <w:bottom w:w="85" w:type="dxa"/>
              <w:end w:w="90" w:type="dxa"/>
            </w:tcMar>
            <w:vAlign w:val="center"/>
          </w:tcPr>
          <w:p>
            <w:pPr>
              <w:spacing w:after="0"/>
            </w:pPr>
            <w:r>
              <w:rPr>
                <w:rFonts w:ascii="Aptos" w:hAnsi="Aptos"/>
                <w:b/>
                <w:color w:val="FFFFFF"/>
                <w:sz w:val="15"/>
              </w:rPr>
              <w:t>Contents</w:t>
            </w:r>
          </w:p>
        </w:tc>
        <w:tc>
          <w:tcPr>
            <w:tcW w:type="dxa" w:w="3389"/>
            <w:shd w:fill="142338"/>
            <w:tcMar>
              <w:top w:w="85" w:type="dxa"/>
              <w:start w:w="90" w:type="dxa"/>
              <w:bottom w:w="85" w:type="dxa"/>
              <w:end w:w="90" w:type="dxa"/>
            </w:tcMar>
            <w:vAlign w:val="center"/>
          </w:tcPr>
          <w:p>
            <w:pPr>
              <w:spacing w:after="0"/>
            </w:pPr>
            <w:r>
              <w:rPr>
                <w:rFonts w:ascii="Aptos" w:hAnsi="Aptos"/>
                <w:b/>
                <w:color w:val="FFFFFF"/>
                <w:sz w:val="15"/>
              </w:rPr>
              <w:t>Interaction</w:t>
            </w:r>
          </w:p>
        </w:tc>
      </w:tr>
      <w:tr>
        <w:tc>
          <w:tcPr>
            <w:tcW w:type="dxa" w:w="1872"/>
            <w:tcMar>
              <w:top w:w="75" w:type="dxa"/>
              <w:start w:w="90" w:type="dxa"/>
              <w:bottom w:w="75" w:type="dxa"/>
              <w:end w:w="90" w:type="dxa"/>
            </w:tcMar>
            <w:vAlign w:val="top"/>
          </w:tcPr>
          <w:p>
            <w:pPr>
              <w:spacing w:after="0" w:line="240" w:lineRule="auto"/>
            </w:pPr>
            <w:r>
              <w:rPr>
                <w:rFonts w:ascii="Aptos" w:hAnsi="Aptos"/>
                <w:color w:val="182638"/>
                <w:sz w:val="15"/>
              </w:rPr>
              <w:t>Top bar</w:t>
            </w:r>
          </w:p>
        </w:tc>
        <w:tc>
          <w:tcPr>
            <w:tcW w:type="dxa" w:w="4320"/>
            <w:tcMar>
              <w:top w:w="75" w:type="dxa"/>
              <w:start w:w="90" w:type="dxa"/>
              <w:bottom w:w="75" w:type="dxa"/>
              <w:end w:w="90" w:type="dxa"/>
            </w:tcMar>
            <w:vAlign w:val="top"/>
          </w:tcPr>
          <w:p>
            <w:pPr>
              <w:spacing w:after="0" w:line="240" w:lineRule="auto"/>
            </w:pPr>
            <w:r>
              <w:rPr>
                <w:rFonts w:ascii="Aptos" w:hAnsi="Aptos"/>
                <w:color w:val="182638"/>
                <w:sz w:val="15"/>
              </w:rPr>
              <w:t>Scenario name, timestamp/source snapshot, selected horizon, data quality indicator.</w:t>
            </w:r>
          </w:p>
        </w:tc>
        <w:tc>
          <w:tcPr>
            <w:tcW w:type="dxa" w:w="3888"/>
            <w:tcMar>
              <w:top w:w="75" w:type="dxa"/>
              <w:start w:w="90" w:type="dxa"/>
              <w:bottom w:w="75" w:type="dxa"/>
              <w:end w:w="90" w:type="dxa"/>
            </w:tcMar>
            <w:vAlign w:val="top"/>
          </w:tcPr>
          <w:p>
            <w:pPr>
              <w:spacing w:after="0" w:line="240" w:lineRule="auto"/>
            </w:pPr>
            <w:r>
              <w:rPr>
                <w:rFonts w:ascii="Aptos" w:hAnsi="Aptos"/>
                <w:color w:val="182638"/>
                <w:sz w:val="15"/>
              </w:rPr>
              <w:t>Choose historical replay, live forecast snapshot or synthetic stress test; clearly label which.</w:t>
            </w:r>
          </w:p>
        </w:tc>
      </w:tr>
      <w:tr>
        <w:tc>
          <w:tcPr>
            <w:tcW w:type="dxa" w:w="1872"/>
            <w:tcMar>
              <w:top w:w="75" w:type="dxa"/>
              <w:start w:w="90" w:type="dxa"/>
              <w:bottom w:w="75" w:type="dxa"/>
              <w:end w:w="90" w:type="dxa"/>
            </w:tcMar>
            <w:vAlign w:val="top"/>
            <w:shd w:fill="F4F7F9"/>
          </w:tcPr>
          <w:p>
            <w:pPr>
              <w:spacing w:after="0" w:line="240" w:lineRule="auto"/>
            </w:pPr>
            <w:r>
              <w:rPr>
                <w:rFonts w:ascii="Aptos" w:hAnsi="Aptos"/>
                <w:color w:val="182638"/>
                <w:sz w:val="15"/>
              </w:rPr>
              <w:t>Left controls</w:t>
            </w:r>
          </w:p>
        </w:tc>
        <w:tc>
          <w:tcPr>
            <w:tcW w:type="dxa" w:w="4320"/>
            <w:tcMar>
              <w:top w:w="75" w:type="dxa"/>
              <w:start w:w="90" w:type="dxa"/>
              <w:bottom w:w="75" w:type="dxa"/>
              <w:end w:w="90" w:type="dxa"/>
            </w:tcMar>
            <w:vAlign w:val="top"/>
            <w:shd w:fill="F4F7F9"/>
          </w:tcPr>
          <w:p>
            <w:pPr>
              <w:spacing w:after="0" w:line="240" w:lineRule="auto"/>
            </w:pPr>
            <w:r>
              <w:rPr>
                <w:rFonts w:ascii="Aptos" w:hAnsi="Aptos"/>
                <w:color w:val="182638"/>
                <w:sz w:val="15"/>
              </w:rPr>
              <w:t>Rainfall scenario, 1–72h timeline, resource budget k, source outage toggle, available layers.</w:t>
            </w:r>
          </w:p>
        </w:tc>
        <w:tc>
          <w:tcPr>
            <w:tcW w:type="dxa" w:w="3888"/>
            <w:tcMar>
              <w:top w:w="75" w:type="dxa"/>
              <w:start w:w="90" w:type="dxa"/>
              <w:bottom w:w="75" w:type="dxa"/>
              <w:end w:w="90" w:type="dxa"/>
            </w:tcMar>
            <w:vAlign w:val="top"/>
            <w:shd w:fill="F4F7F9"/>
          </w:tcPr>
          <w:p>
            <w:pPr>
              <w:spacing w:after="0" w:line="240" w:lineRule="auto"/>
            </w:pPr>
            <w:r>
              <w:rPr>
                <w:rFonts w:ascii="Aptos" w:hAnsi="Aptos"/>
                <w:color w:val="182638"/>
                <w:sz w:val="15"/>
              </w:rPr>
              <w:t>Change horizon/assumptions. Every override is visible and becomes part of the prediction receipt.</w:t>
            </w:r>
          </w:p>
        </w:tc>
      </w:tr>
      <w:tr>
        <w:tc>
          <w:tcPr>
            <w:tcW w:type="dxa" w:w="1872"/>
            <w:tcMar>
              <w:top w:w="75" w:type="dxa"/>
              <w:start w:w="90" w:type="dxa"/>
              <w:bottom w:w="75" w:type="dxa"/>
              <w:end w:w="90" w:type="dxa"/>
            </w:tcMar>
            <w:vAlign w:val="top"/>
          </w:tcPr>
          <w:p>
            <w:pPr>
              <w:spacing w:after="0" w:line="240" w:lineRule="auto"/>
            </w:pPr>
            <w:r>
              <w:rPr>
                <w:rFonts w:ascii="Aptos" w:hAnsi="Aptos"/>
                <w:color w:val="182638"/>
                <w:sz w:val="15"/>
              </w:rPr>
              <w:t>Center map</w:t>
            </w:r>
          </w:p>
        </w:tc>
        <w:tc>
          <w:tcPr>
            <w:tcW w:type="dxa" w:w="4320"/>
            <w:tcMar>
              <w:top w:w="75" w:type="dxa"/>
              <w:start w:w="90" w:type="dxa"/>
              <w:bottom w:w="75" w:type="dxa"/>
              <w:end w:w="90" w:type="dxa"/>
            </w:tcMar>
            <w:vAlign w:val="top"/>
          </w:tcPr>
          <w:p>
            <w:pPr>
              <w:spacing w:after="0" w:line="240" w:lineRule="auto"/>
            </w:pPr>
            <w:r>
              <w:rPr>
                <w:rFonts w:ascii="Aptos" w:hAnsi="Aptos"/>
                <w:color w:val="182638"/>
                <w:sz w:val="15"/>
              </w:rPr>
              <w:t>3D buildings/extrusions, wards or local zones, flood hotspots, road network, facilities, settlements, hazard paths.</w:t>
            </w:r>
          </w:p>
        </w:tc>
        <w:tc>
          <w:tcPr>
            <w:tcW w:type="dxa" w:w="3888"/>
            <w:tcMar>
              <w:top w:w="75" w:type="dxa"/>
              <w:start w:w="90" w:type="dxa"/>
              <w:bottom w:w="75" w:type="dxa"/>
              <w:end w:w="90" w:type="dxa"/>
            </w:tcMar>
            <w:vAlign w:val="top"/>
          </w:tcPr>
          <w:p>
            <w:pPr>
              <w:spacing w:after="0" w:line="240" w:lineRule="auto"/>
            </w:pPr>
            <w:r>
              <w:rPr>
                <w:rFonts w:ascii="Aptos" w:hAnsi="Aptos"/>
                <w:color w:val="182638"/>
                <w:sz w:val="15"/>
              </w:rPr>
              <w:t>Click zone/edge/facility; toggle baseline, predicted cascade and intervention layer; zoom from city overview to selected AOI.</w:t>
            </w:r>
          </w:p>
        </w:tc>
      </w:tr>
      <w:tr>
        <w:tc>
          <w:tcPr>
            <w:tcW w:type="dxa" w:w="1872"/>
            <w:tcMar>
              <w:top w:w="75" w:type="dxa"/>
              <w:start w:w="90" w:type="dxa"/>
              <w:bottom w:w="75" w:type="dxa"/>
              <w:end w:w="90" w:type="dxa"/>
            </w:tcMar>
            <w:vAlign w:val="top"/>
            <w:shd w:fill="F4F7F9"/>
          </w:tcPr>
          <w:p>
            <w:pPr>
              <w:spacing w:after="0" w:line="240" w:lineRule="auto"/>
            </w:pPr>
            <w:r>
              <w:rPr>
                <w:rFonts w:ascii="Aptos" w:hAnsi="Aptos"/>
                <w:color w:val="182638"/>
                <w:sz w:val="15"/>
              </w:rPr>
              <w:t>Right cascade trace</w:t>
            </w:r>
          </w:p>
        </w:tc>
        <w:tc>
          <w:tcPr>
            <w:tcW w:type="dxa" w:w="4320"/>
            <w:tcMar>
              <w:top w:w="75" w:type="dxa"/>
              <w:start w:w="90" w:type="dxa"/>
              <w:bottom w:w="75" w:type="dxa"/>
              <w:end w:w="90" w:type="dxa"/>
            </w:tcMar>
            <w:vAlign w:val="top"/>
            <w:shd w:fill="F4F7F9"/>
          </w:tcPr>
          <w:p>
            <w:pPr>
              <w:spacing w:after="0" w:line="240" w:lineRule="auto"/>
            </w:pPr>
            <w:r>
              <w:rPr>
                <w:rFonts w:ascii="Aptos" w:hAnsi="Aptos"/>
                <w:color w:val="182638"/>
                <w:sz w:val="15"/>
              </w:rPr>
              <w:t>Sequence of predicted effects, driver list, evidence source, confidence and model assumptions.</w:t>
            </w:r>
          </w:p>
        </w:tc>
        <w:tc>
          <w:tcPr>
            <w:tcW w:type="dxa" w:w="3888"/>
            <w:tcMar>
              <w:top w:w="75" w:type="dxa"/>
              <w:start w:w="90" w:type="dxa"/>
              <w:bottom w:w="75" w:type="dxa"/>
              <w:end w:w="90" w:type="dxa"/>
            </w:tcMar>
            <w:vAlign w:val="top"/>
            <w:shd w:fill="F4F7F9"/>
          </w:tcPr>
          <w:p>
            <w:pPr>
              <w:spacing w:after="0" w:line="240" w:lineRule="auto"/>
            </w:pPr>
            <w:r>
              <w:rPr>
                <w:rFonts w:ascii="Aptos" w:hAnsi="Aptos"/>
                <w:color w:val="182638"/>
                <w:sz w:val="15"/>
              </w:rPr>
              <w:t>Click each step to highlight the exact source features and graph edges on the map.</w:t>
            </w:r>
          </w:p>
        </w:tc>
      </w:tr>
      <w:tr>
        <w:tc>
          <w:tcPr>
            <w:tcW w:type="dxa" w:w="1872"/>
            <w:tcMar>
              <w:top w:w="75" w:type="dxa"/>
              <w:start w:w="90" w:type="dxa"/>
              <w:bottom w:w="75" w:type="dxa"/>
              <w:end w:w="90" w:type="dxa"/>
            </w:tcMar>
            <w:vAlign w:val="top"/>
          </w:tcPr>
          <w:p>
            <w:pPr>
              <w:spacing w:after="0" w:line="240" w:lineRule="auto"/>
            </w:pPr>
            <w:r>
              <w:rPr>
                <w:rFonts w:ascii="Aptos" w:hAnsi="Aptos"/>
                <w:color w:val="182638"/>
                <w:sz w:val="15"/>
              </w:rPr>
              <w:t>Bottom timeline</w:t>
            </w:r>
          </w:p>
        </w:tc>
        <w:tc>
          <w:tcPr>
            <w:tcW w:type="dxa" w:w="4320"/>
            <w:tcMar>
              <w:top w:w="75" w:type="dxa"/>
              <w:start w:w="90" w:type="dxa"/>
              <w:bottom w:w="75" w:type="dxa"/>
              <w:end w:w="90" w:type="dxa"/>
            </w:tcMar>
            <w:vAlign w:val="top"/>
          </w:tcPr>
          <w:p>
            <w:pPr>
              <w:spacing w:after="0" w:line="240" w:lineRule="auto"/>
            </w:pPr>
            <w:r>
              <w:rPr>
                <w:rFonts w:ascii="Aptos" w:hAnsi="Aptos"/>
                <w:color w:val="182638"/>
                <w:sz w:val="15"/>
              </w:rPr>
              <w:t>1, 3, 6, 12, 24, 48, 72h trajectory; per-horizon risk and access-loss chart.</w:t>
            </w:r>
          </w:p>
        </w:tc>
        <w:tc>
          <w:tcPr>
            <w:tcW w:type="dxa" w:w="3888"/>
            <w:tcMar>
              <w:top w:w="75" w:type="dxa"/>
              <w:start w:w="90" w:type="dxa"/>
              <w:bottom w:w="75" w:type="dxa"/>
              <w:end w:w="90" w:type="dxa"/>
            </w:tcMar>
            <w:vAlign w:val="top"/>
          </w:tcPr>
          <w:p>
            <w:pPr>
              <w:spacing w:after="0" w:line="240" w:lineRule="auto"/>
            </w:pPr>
            <w:r>
              <w:rPr>
                <w:rFonts w:ascii="Aptos" w:hAnsi="Aptos"/>
                <w:color w:val="182638"/>
                <w:sz w:val="15"/>
              </w:rPr>
              <w:t>Scrub time; map and metrics update together.</w:t>
            </w:r>
          </w:p>
        </w:tc>
      </w:tr>
      <w:tr>
        <w:tc>
          <w:tcPr>
            <w:tcW w:type="dxa" w:w="1872"/>
            <w:tcMar>
              <w:top w:w="75" w:type="dxa"/>
              <w:start w:w="90" w:type="dxa"/>
              <w:bottom w:w="75" w:type="dxa"/>
              <w:end w:w="90" w:type="dxa"/>
            </w:tcMar>
            <w:vAlign w:val="top"/>
            <w:shd w:fill="F4F7F9"/>
          </w:tcPr>
          <w:p>
            <w:pPr>
              <w:spacing w:after="0" w:line="240" w:lineRule="auto"/>
            </w:pPr>
            <w:r>
              <w:rPr>
                <w:rFonts w:ascii="Aptos" w:hAnsi="Aptos"/>
                <w:color w:val="182638"/>
                <w:sz w:val="15"/>
              </w:rPr>
              <w:t>Intervention comparison</w:t>
            </w:r>
          </w:p>
        </w:tc>
        <w:tc>
          <w:tcPr>
            <w:tcW w:type="dxa" w:w="4320"/>
            <w:tcMar>
              <w:top w:w="75" w:type="dxa"/>
              <w:start w:w="90" w:type="dxa"/>
              <w:bottom w:w="75" w:type="dxa"/>
              <w:end w:w="90" w:type="dxa"/>
            </w:tcMar>
            <w:vAlign w:val="top"/>
            <w:shd w:fill="F4F7F9"/>
          </w:tcPr>
          <w:p>
            <w:pPr>
              <w:spacing w:after="0" w:line="240" w:lineRule="auto"/>
            </w:pPr>
            <w:r>
              <w:rPr>
                <w:rFonts w:ascii="Aptos" w:hAnsi="Aptos"/>
                <w:color w:val="182638"/>
                <w:sz w:val="15"/>
              </w:rPr>
              <w:t>Baseline vs recommended placement; retained-access change; facilities/settlements gaining/losing reachability; side-effect note.</w:t>
            </w:r>
          </w:p>
        </w:tc>
        <w:tc>
          <w:tcPr>
            <w:tcW w:type="dxa" w:w="3888"/>
            <w:tcMar>
              <w:top w:w="75" w:type="dxa"/>
              <w:start w:w="90" w:type="dxa"/>
              <w:bottom w:w="75" w:type="dxa"/>
              <w:end w:w="90" w:type="dxa"/>
            </w:tcMar>
            <w:vAlign w:val="top"/>
            <w:shd w:fill="F4F7F9"/>
          </w:tcPr>
          <w:p>
            <w:pPr>
              <w:spacing w:after="0" w:line="240" w:lineRule="auto"/>
            </w:pPr>
            <w:r>
              <w:rPr>
                <w:rFonts w:ascii="Aptos" w:hAnsi="Aptos"/>
                <w:color w:val="182638"/>
                <w:sz w:val="15"/>
              </w:rPr>
              <w:t>Compare candidate plans under the same fixed scenario and budget.</w:t>
            </w:r>
          </w:p>
        </w:tc>
      </w:tr>
    </w:tbl>
    <w:p>
      <w:pPr>
        <w:spacing w:before="0" w:after="0" w:line="20" w:lineRule="exact"/>
      </w:pPr>
    </w:p>
    <w:p>
      <w:pPr>
        <w:pStyle w:val="Heading2"/>
        <w:keepNext/>
      </w:pPr>
      <w:r>
        <w:rPr>
          <w:rFonts w:ascii="Aptos" w:hAnsi="Aptos"/>
          <w:b/>
          <w:color w:val="0F9D91"/>
          <w:sz w:val="26"/>
        </w:rPr>
        <w:t>7.2 3D technology and offline constraints</w:t>
      </w:r>
    </w:p>
    <w:p>
      <w:pPr>
        <w:pStyle w:val="ListBullet"/>
        <w:spacing w:after="50" w:line="245" w:lineRule="auto"/>
        <w:ind w:left="360" w:hanging="216"/>
      </w:pPr>
      <w:r>
        <w:rPr>
          <w:rFonts w:ascii="Aptos" w:hAnsi="Aptos"/>
          <w:b/>
          <w:color w:val="182638"/>
          <w:sz w:val="18"/>
        </w:rPr>
        <w:t xml:space="preserve">Primary choice: </w:t>
      </w:r>
      <w:r>
        <w:rPr>
          <w:rFonts w:ascii="Aptos" w:hAnsi="Aptos"/>
          <w:color w:val="182638"/>
          <w:sz w:val="18"/>
        </w:rPr>
        <w:t>MapLibre GL JS with `fill-extrusion` building layers; use true height only where the feature has it. If height is missing, use a neutral symbolic height and label it approximate. Official examples document 3D building extrusions. [R23]</w:t>
      </w:r>
    </w:p>
    <w:p>
      <w:pPr>
        <w:pStyle w:val="ListBullet"/>
        <w:spacing w:after="50" w:line="245" w:lineRule="auto"/>
        <w:ind w:left="360" w:hanging="216"/>
      </w:pPr>
      <w:r>
        <w:rPr>
          <w:rFonts w:ascii="Aptos" w:hAnsi="Aptos"/>
          <w:b/>
          <w:color w:val="182638"/>
          <w:sz w:val="18"/>
        </w:rPr>
        <w:t xml:space="preserve">Offline city: </w:t>
      </w:r>
      <w:r>
        <w:rPr>
          <w:rFonts w:ascii="Aptos" w:hAnsi="Aptos"/>
          <w:color w:val="182638"/>
          <w:sz w:val="18"/>
        </w:rPr>
        <w:t>pre-process the chosen AOI to local GeoJSON or a PMTiles archive. Use a local style, local assets/fonts where needed, and no runtime call to remote base-map tiles, geocoding or fonts. PMTiles is a single-file tiled-archive format that MapLibre can read via a protocol plugin. [R24]</w:t>
      </w:r>
    </w:p>
    <w:p>
      <w:pPr>
        <w:pStyle w:val="ListBullet"/>
        <w:spacing w:after="50" w:line="245" w:lineRule="auto"/>
        <w:ind w:left="360" w:hanging="216"/>
      </w:pPr>
      <w:r>
        <w:rPr>
          <w:rFonts w:ascii="Aptos" w:hAnsi="Aptos"/>
          <w:b/>
          <w:color w:val="182638"/>
          <w:sz w:val="18"/>
        </w:rPr>
        <w:t xml:space="preserve">Lightweight fallback: </w:t>
      </w:r>
      <w:r>
        <w:rPr>
          <w:rFonts w:ascii="Aptos" w:hAnsi="Aptos"/>
          <w:color w:val="182638"/>
          <w:sz w:val="18"/>
        </w:rPr>
        <w:t>if the MCGM building geometry is too large, render local roads, water, flood polygons, wards and facilities in a custom dark style; use extrusions only for the clipped AOI.</w:t>
      </w:r>
    </w:p>
    <w:p>
      <w:pPr>
        <w:pStyle w:val="ListBullet"/>
        <w:spacing w:after="50" w:line="245" w:lineRule="auto"/>
        <w:ind w:left="360" w:hanging="216"/>
      </w:pPr>
      <w:r>
        <w:rPr>
          <w:rFonts w:ascii="Aptos" w:hAnsi="Aptos"/>
          <w:b/>
          <w:color w:val="182638"/>
          <w:sz w:val="18"/>
        </w:rPr>
        <w:t xml:space="preserve">Do not: </w:t>
      </w:r>
      <w:r>
        <w:rPr>
          <w:rFonts w:ascii="Aptos" w:hAnsi="Aptos"/>
          <w:color w:val="182638"/>
          <w:sz w:val="18"/>
        </w:rPr>
        <w:t>depend on a paid map key, continuously call Overpass, stream large city-wide GeoJSON at every click, or build a custom Three.js city when MapLibre extrusion is enough.</w:t>
      </w:r>
    </w:p>
    <w:p>
      <w:pPr>
        <w:pStyle w:val="ListBullet"/>
        <w:spacing w:after="50" w:line="245" w:lineRule="auto"/>
        <w:ind w:left="360" w:hanging="216"/>
      </w:pPr>
      <w:r>
        <w:rPr>
          <w:rFonts w:ascii="Aptos" w:hAnsi="Aptos"/>
          <w:b/>
          <w:color w:val="182638"/>
          <w:sz w:val="18"/>
        </w:rPr>
        <w:t xml:space="preserve">No fake precision: </w:t>
      </w:r>
      <w:r>
        <w:rPr>
          <w:rFonts w:ascii="Aptos" w:hAnsi="Aptos"/>
          <w:color w:val="182638"/>
          <w:sz w:val="18"/>
        </w:rPr>
        <w:t>do not animate “85 cm water depth” unless it comes from a validated model and source. Use risk shading, edge stress states and scenario time-layers instead.</w:t>
      </w:r>
    </w:p>
    <w:p>
      <w:pPr>
        <w:pStyle w:val="Heading2"/>
        <w:keepNext/>
      </w:pPr>
      <w:r>
        <w:rPr>
          <w:rFonts w:ascii="Aptos" w:hAnsi="Aptos"/>
          <w:b/>
          <w:color w:val="0F9D91"/>
          <w:sz w:val="26"/>
        </w:rPr>
        <w:t>7.3 UI features that help judges see novelty</w:t>
      </w:r>
    </w:p>
    <w:p>
      <w:pPr>
        <w:keepLines/>
        <w:spacing w:after="60" w:line="245" w:lineRule="auto"/>
        <w:ind w:left="432" w:hanging="346"/>
      </w:pPr>
      <w:r>
        <w:rPr>
          <w:rFonts w:ascii="Aptos" w:hAnsi="Aptos"/>
          <w:b/>
          <w:color w:val="0F9D91"/>
          <w:sz w:val="18"/>
        </w:rPr>
        <w:t xml:space="preserve">1. </w:t>
      </w:r>
      <w:r>
        <w:rPr>
          <w:rFonts w:ascii="Aptos" w:hAnsi="Aptos"/>
          <w:b/>
          <w:color w:val="182638"/>
          <w:sz w:val="18"/>
        </w:rPr>
        <w:t xml:space="preserve">Causal trace highlights: </w:t>
      </w:r>
      <w:r>
        <w:rPr>
          <w:rFonts w:ascii="Aptos" w:hAnsi="Aptos"/>
          <w:color w:val="182638"/>
          <w:sz w:val="18"/>
        </w:rPr>
        <w:t>click “Hospital access degraded” and the map lights up the contributing hotspot and road edges.</w:t>
      </w:r>
    </w:p>
    <w:p>
      <w:pPr>
        <w:keepLines/>
        <w:spacing w:after="60" w:line="245" w:lineRule="auto"/>
        <w:ind w:left="432" w:hanging="346"/>
      </w:pPr>
      <w:r>
        <w:rPr>
          <w:rFonts w:ascii="Aptos" w:hAnsi="Aptos"/>
          <w:b/>
          <w:color w:val="0F9D91"/>
          <w:sz w:val="18"/>
        </w:rPr>
        <w:t xml:space="preserve">2. </w:t>
      </w:r>
      <w:r>
        <w:rPr>
          <w:rFonts w:ascii="Aptos" w:hAnsi="Aptos"/>
          <w:b/>
          <w:color w:val="182638"/>
          <w:sz w:val="18"/>
        </w:rPr>
        <w:t xml:space="preserve">Why did risk change? </w:t>
      </w:r>
      <w:r>
        <w:rPr>
          <w:rFonts w:ascii="Aptos" w:hAnsi="Aptos"/>
          <w:color w:val="182638"/>
          <w:sz w:val="18"/>
        </w:rPr>
        <w:t>show previous vs current rainfall window, new/removed data sources, and the exact rule that changed a zone state.</w:t>
      </w:r>
    </w:p>
    <w:p>
      <w:pPr>
        <w:keepLines/>
        <w:spacing w:after="60" w:line="245" w:lineRule="auto"/>
        <w:ind w:left="432" w:hanging="346"/>
      </w:pPr>
      <w:r>
        <w:rPr>
          <w:rFonts w:ascii="Aptos" w:hAnsi="Aptos"/>
          <w:b/>
          <w:color w:val="0F9D91"/>
          <w:sz w:val="18"/>
        </w:rPr>
        <w:t xml:space="preserve">3. </w:t>
      </w:r>
      <w:r>
        <w:rPr>
          <w:rFonts w:ascii="Aptos" w:hAnsi="Aptos"/>
          <w:b/>
          <w:color w:val="182638"/>
          <w:sz w:val="18"/>
        </w:rPr>
        <w:t xml:space="preserve">Confidence / freshness layer: </w:t>
      </w:r>
      <w:r>
        <w:rPr>
          <w:rFonts w:ascii="Aptos" w:hAnsi="Aptos"/>
          <w:color w:val="182638"/>
          <w:sz w:val="18"/>
        </w:rPr>
        <w:t>separate risk color from an uncertainty hatch or border style; missing source areas should be visually obvious.</w:t>
      </w:r>
    </w:p>
    <w:p>
      <w:pPr>
        <w:keepLines/>
        <w:spacing w:after="60" w:line="245" w:lineRule="auto"/>
        <w:ind w:left="432" w:hanging="346"/>
      </w:pPr>
      <w:r>
        <w:rPr>
          <w:rFonts w:ascii="Aptos" w:hAnsi="Aptos"/>
          <w:b/>
          <w:color w:val="0F9D91"/>
          <w:sz w:val="18"/>
        </w:rPr>
        <w:t xml:space="preserve">4. </w:t>
      </w:r>
      <w:r>
        <w:rPr>
          <w:rFonts w:ascii="Aptos" w:hAnsi="Aptos"/>
          <w:b/>
          <w:color w:val="182638"/>
          <w:sz w:val="18"/>
        </w:rPr>
        <w:t xml:space="preserve">Compare intervention: </w:t>
      </w:r>
      <w:r>
        <w:rPr>
          <w:rFonts w:ascii="Aptos" w:hAnsi="Aptos"/>
          <w:color w:val="182638"/>
          <w:sz w:val="18"/>
        </w:rPr>
        <w:t>toggle “Baseline” and “Recommended action” with a delta metric. Keep the scenario input fixed between both runs.</w:t>
      </w:r>
    </w:p>
    <w:p>
      <w:pPr>
        <w:keepLines/>
        <w:spacing w:after="60" w:line="245" w:lineRule="auto"/>
        <w:ind w:left="432" w:hanging="346"/>
      </w:pPr>
      <w:r>
        <w:rPr>
          <w:rFonts w:ascii="Aptos" w:hAnsi="Aptos"/>
          <w:b/>
          <w:color w:val="0F9D91"/>
          <w:sz w:val="18"/>
        </w:rPr>
        <w:t xml:space="preserve">5. </w:t>
      </w:r>
      <w:r>
        <w:rPr>
          <w:rFonts w:ascii="Aptos" w:hAnsi="Aptos"/>
          <w:b/>
          <w:color w:val="182638"/>
          <w:sz w:val="18"/>
        </w:rPr>
        <w:t xml:space="preserve">Data provenance inspector: </w:t>
      </w:r>
      <w:r>
        <w:rPr>
          <w:rFonts w:ascii="Aptos" w:hAnsi="Aptos"/>
          <w:color w:val="182638"/>
          <w:sz w:val="18"/>
        </w:rPr>
        <w:t>click a station, flood polygon or facility to see source name, retrieval time, date coverage and attribute quality.</w:t>
      </w:r>
    </w:p>
    <w:p>
      <w:r>
        <w:br w:type="page"/>
      </w:r>
    </w:p>
    <w:p>
      <w:pPr>
        <w:pStyle w:val="Heading1"/>
        <w:keepNext/>
      </w:pPr>
      <w:r>
        <w:rPr>
          <w:rFonts w:ascii="Aptos" w:hAnsi="Aptos"/>
          <w:b/>
          <w:color w:val="142338"/>
          <w:sz w:val="36"/>
        </w:rPr>
        <w:t>8. Evaluation plan: prove what the prototype does</w:t>
      </w:r>
    </w:p>
    <w:p>
      <w:pPr>
        <w:spacing w:before="0" w:after="100" w:line="252" w:lineRule="auto"/>
      </w:pPr>
      <w:r>
        <w:rPr>
          <w:rFonts w:ascii="Aptos" w:hAnsi="Aptos"/>
          <w:i w:val="0"/>
        </w:rPr>
        <w:t>Build a small “evidence panel” in the app and include a results page/table in the pitch. Strong claims require matching ground truth. Where no ground truth is available, report scenario tests and clearly label them as such.</w:t>
      </w:r>
    </w:p>
    <w:tbl>
      <w:tblPr>
        <w:tblW w:type="auto" w:w="0"/>
        <w:jc w:val="center"/>
        <w:tblLayout w:type="fixed"/>
        <w:tblLook w:firstColumn="1" w:firstRow="1" w:lastColumn="0" w:lastRow="0" w:noHBand="0" w:noVBand="1" w:val="04A0"/>
      </w:tblPr>
      <w:tblGrid>
        <w:gridCol w:w="1584"/>
        <w:gridCol w:w="3168"/>
        <w:gridCol w:w="2880"/>
        <w:gridCol w:w="2448"/>
      </w:tblGrid>
      <w:tr>
        <w:trPr>
          <w:tblHeader w:val="true"/>
        </w:trPr>
        <w:tc>
          <w:tcPr>
            <w:tcW w:type="dxa" w:w="2541"/>
            <w:shd w:fill="142338"/>
            <w:tcMar>
              <w:top w:w="85" w:type="dxa"/>
              <w:start w:w="90" w:type="dxa"/>
              <w:bottom w:w="85" w:type="dxa"/>
              <w:end w:w="90" w:type="dxa"/>
            </w:tcMar>
            <w:vAlign w:val="center"/>
          </w:tcPr>
          <w:p>
            <w:pPr>
              <w:spacing w:after="0"/>
            </w:pPr>
            <w:r>
              <w:rPr>
                <w:rFonts w:ascii="Aptos" w:hAnsi="Aptos"/>
                <w:b/>
                <w:color w:val="FFFFFF"/>
                <w:sz w:val="14"/>
              </w:rPr>
              <w:t>Layer</w:t>
            </w:r>
          </w:p>
        </w:tc>
        <w:tc>
          <w:tcPr>
            <w:tcW w:type="dxa" w:w="2541"/>
            <w:shd w:fill="142338"/>
            <w:tcMar>
              <w:top w:w="85" w:type="dxa"/>
              <w:start w:w="90" w:type="dxa"/>
              <w:bottom w:w="85" w:type="dxa"/>
              <w:end w:w="90" w:type="dxa"/>
            </w:tcMar>
            <w:vAlign w:val="center"/>
          </w:tcPr>
          <w:p>
            <w:pPr>
              <w:spacing w:after="0"/>
            </w:pPr>
            <w:r>
              <w:rPr>
                <w:rFonts w:ascii="Aptos" w:hAnsi="Aptos"/>
                <w:b/>
                <w:color w:val="FFFFFF"/>
                <w:sz w:val="14"/>
              </w:rPr>
              <w:t>Data / protocol</w:t>
            </w:r>
          </w:p>
        </w:tc>
        <w:tc>
          <w:tcPr>
            <w:tcW w:type="dxa" w:w="2541"/>
            <w:shd w:fill="142338"/>
            <w:tcMar>
              <w:top w:w="85" w:type="dxa"/>
              <w:start w:w="90" w:type="dxa"/>
              <w:bottom w:w="85" w:type="dxa"/>
              <w:end w:w="90" w:type="dxa"/>
            </w:tcMar>
            <w:vAlign w:val="center"/>
          </w:tcPr>
          <w:p>
            <w:pPr>
              <w:spacing w:after="0"/>
            </w:pPr>
            <w:r>
              <w:rPr>
                <w:rFonts w:ascii="Aptos" w:hAnsi="Aptos"/>
                <w:b/>
                <w:color w:val="FFFFFF"/>
                <w:sz w:val="14"/>
              </w:rPr>
              <w:t>Metrics</w:t>
            </w:r>
          </w:p>
        </w:tc>
        <w:tc>
          <w:tcPr>
            <w:tcW w:type="dxa" w:w="2541"/>
            <w:shd w:fill="142338"/>
            <w:tcMar>
              <w:top w:w="85" w:type="dxa"/>
              <w:start w:w="90" w:type="dxa"/>
              <w:bottom w:w="85" w:type="dxa"/>
              <w:end w:w="90" w:type="dxa"/>
            </w:tcMar>
            <w:vAlign w:val="center"/>
          </w:tcPr>
          <w:p>
            <w:pPr>
              <w:spacing w:after="0"/>
            </w:pPr>
            <w:r>
              <w:rPr>
                <w:rFonts w:ascii="Aptos" w:hAnsi="Aptos"/>
                <w:b/>
                <w:color w:val="FFFFFF"/>
                <w:sz w:val="14"/>
              </w:rPr>
              <w:t>Do not claim</w:t>
            </w:r>
          </w:p>
        </w:tc>
      </w:tr>
      <w:tr>
        <w:tc>
          <w:tcPr>
            <w:tcW w:type="dxa" w:w="1584"/>
            <w:tcMar>
              <w:top w:w="75" w:type="dxa"/>
              <w:start w:w="90" w:type="dxa"/>
              <w:bottom w:w="75" w:type="dxa"/>
              <w:end w:w="90" w:type="dxa"/>
            </w:tcMar>
            <w:vAlign w:val="top"/>
          </w:tcPr>
          <w:p>
            <w:pPr>
              <w:spacing w:after="0" w:line="240" w:lineRule="auto"/>
            </w:pPr>
            <w:r>
              <w:rPr>
                <w:rFonts w:ascii="Aptos" w:hAnsi="Aptos"/>
                <w:color w:val="182638"/>
                <w:sz w:val="14"/>
              </w:rPr>
              <w:t>Rainfall forecasting</w:t>
            </w:r>
          </w:p>
        </w:tc>
        <w:tc>
          <w:tcPr>
            <w:tcW w:type="dxa" w:w="3168"/>
            <w:tcMar>
              <w:top w:w="75" w:type="dxa"/>
              <w:start w:w="90" w:type="dxa"/>
              <w:bottom w:w="75" w:type="dxa"/>
              <w:end w:w="90" w:type="dxa"/>
            </w:tcMar>
            <w:vAlign w:val="top"/>
          </w:tcPr>
          <w:p>
            <w:pPr>
              <w:spacing w:after="0" w:line="240" w:lineRule="auto"/>
            </w:pPr>
            <w:r>
              <w:rPr>
                <w:rFonts w:ascii="Aptos" w:hAnsi="Aptos"/>
                <w:color w:val="182638"/>
                <w:sz w:val="14"/>
              </w:rPr>
              <w:t>Temporal split of 37-station observations; if using archived forecast data, respect forecast issue/valid time. Train earlier years, tune on a later block, final test on a held-out period.</w:t>
            </w:r>
          </w:p>
        </w:tc>
        <w:tc>
          <w:tcPr>
            <w:tcW w:type="dxa" w:w="2880"/>
            <w:tcMar>
              <w:top w:w="75" w:type="dxa"/>
              <w:start w:w="90" w:type="dxa"/>
              <w:bottom w:w="75" w:type="dxa"/>
              <w:end w:w="90" w:type="dxa"/>
            </w:tcMar>
            <w:vAlign w:val="top"/>
          </w:tcPr>
          <w:p>
            <w:pPr>
              <w:spacing w:after="0" w:line="240" w:lineRule="auto"/>
            </w:pPr>
            <w:r>
              <w:rPr>
                <w:rFonts w:ascii="Aptos" w:hAnsi="Aptos"/>
                <w:color w:val="182638"/>
                <w:sz w:val="14"/>
              </w:rPr>
              <w:t>MAE and RMSE (mm); heavy-rain event precision/recall at a defined threshold; lead-time error at 1/3h and available longer horizons. Compare with persistence.</w:t>
            </w:r>
          </w:p>
        </w:tc>
        <w:tc>
          <w:tcPr>
            <w:tcW w:type="dxa" w:w="2448"/>
            <w:tcMar>
              <w:top w:w="75" w:type="dxa"/>
              <w:start w:w="90" w:type="dxa"/>
              <w:bottom w:w="75" w:type="dxa"/>
              <w:end w:w="90" w:type="dxa"/>
            </w:tcMar>
            <w:vAlign w:val="top"/>
          </w:tcPr>
          <w:p>
            <w:pPr>
              <w:spacing w:after="0" w:line="240" w:lineRule="auto"/>
            </w:pPr>
            <w:r>
              <w:rPr>
                <w:rFonts w:ascii="Aptos" w:hAnsi="Aptos"/>
                <w:color w:val="182638"/>
                <w:sz w:val="14"/>
              </w:rPr>
              <w:t>Do not use random split of overlapping windows; do not call correlation alone predictive accuracy; do not use reanalysis as if it were a forecast issued at the time.</w:t>
            </w:r>
          </w:p>
        </w:tc>
      </w:tr>
      <w:tr>
        <w:tc>
          <w:tcPr>
            <w:tcW w:type="dxa" w:w="1584"/>
            <w:tcMar>
              <w:top w:w="75" w:type="dxa"/>
              <w:start w:w="90" w:type="dxa"/>
              <w:bottom w:w="75" w:type="dxa"/>
              <w:end w:w="90" w:type="dxa"/>
            </w:tcMar>
            <w:vAlign w:val="top"/>
            <w:shd w:fill="F4F7F9"/>
          </w:tcPr>
          <w:p>
            <w:pPr>
              <w:spacing w:after="0" w:line="240" w:lineRule="auto"/>
            </w:pPr>
            <w:r>
              <w:rPr>
                <w:rFonts w:ascii="Aptos" w:hAnsi="Aptos"/>
                <w:color w:val="182638"/>
                <w:sz w:val="14"/>
              </w:rPr>
              <w:t>Spatial hazard plausibility</w:t>
            </w:r>
          </w:p>
        </w:tc>
        <w:tc>
          <w:tcPr>
            <w:tcW w:type="dxa" w:w="3168"/>
            <w:tcMar>
              <w:top w:w="75" w:type="dxa"/>
              <w:start w:w="90" w:type="dxa"/>
              <w:bottom w:w="75" w:type="dxa"/>
              <w:end w:w="90" w:type="dxa"/>
            </w:tcMar>
            <w:vAlign w:val="top"/>
            <w:shd w:fill="F4F7F9"/>
          </w:tcPr>
          <w:p>
            <w:pPr>
              <w:spacing w:after="0" w:line="240" w:lineRule="auto"/>
            </w:pPr>
            <w:r>
              <w:rPr>
                <w:rFonts w:ascii="Aptos" w:hAnsi="Aptos"/>
                <w:color w:val="182638"/>
                <w:sz w:val="14"/>
              </w:rPr>
              <w:t>Compare modelled high-risk zone rankings with MCGM flooding spots and any extractable Bhuvan historic flood geometry.</w:t>
            </w:r>
          </w:p>
        </w:tc>
        <w:tc>
          <w:tcPr>
            <w:tcW w:type="dxa" w:w="2880"/>
            <w:tcMar>
              <w:top w:w="75" w:type="dxa"/>
              <w:start w:w="90" w:type="dxa"/>
              <w:bottom w:w="75" w:type="dxa"/>
              <w:end w:w="90" w:type="dxa"/>
            </w:tcMar>
            <w:vAlign w:val="top"/>
            <w:shd w:fill="F4F7F9"/>
          </w:tcPr>
          <w:p>
            <w:pPr>
              <w:spacing w:after="0" w:line="240" w:lineRule="auto"/>
            </w:pPr>
            <w:r>
              <w:rPr>
                <w:rFonts w:ascii="Aptos" w:hAnsi="Aptos"/>
                <w:color w:val="182638"/>
                <w:sz w:val="14"/>
              </w:rPr>
              <w:t>Top-k hotspot overlap; spatial precision/recall/IoU only if polygons are a valid event-matched ground truth.</w:t>
            </w:r>
          </w:p>
        </w:tc>
        <w:tc>
          <w:tcPr>
            <w:tcW w:type="dxa" w:w="2448"/>
            <w:tcMar>
              <w:top w:w="75" w:type="dxa"/>
              <w:start w:w="90" w:type="dxa"/>
              <w:bottom w:w="75" w:type="dxa"/>
              <w:end w:w="90" w:type="dxa"/>
            </w:tcMar>
            <w:vAlign w:val="top"/>
            <w:shd w:fill="F4F7F9"/>
          </w:tcPr>
          <w:p>
            <w:pPr>
              <w:spacing w:after="0" w:line="240" w:lineRule="auto"/>
            </w:pPr>
            <w:r>
              <w:rPr>
                <w:rFonts w:ascii="Aptos" w:hAnsi="Aptos"/>
                <w:color w:val="182638"/>
                <w:sz w:val="14"/>
              </w:rPr>
              <w:t>A static hotspot inventory does not validate event timing or flood depth. Bhuvan satellite coverage can miss peak/minor events. [R14]</w:t>
            </w:r>
          </w:p>
        </w:tc>
      </w:tr>
      <w:tr>
        <w:tc>
          <w:tcPr>
            <w:tcW w:type="dxa" w:w="1584"/>
            <w:tcMar>
              <w:top w:w="75" w:type="dxa"/>
              <w:start w:w="90" w:type="dxa"/>
              <w:bottom w:w="75" w:type="dxa"/>
              <w:end w:w="90" w:type="dxa"/>
            </w:tcMar>
            <w:vAlign w:val="top"/>
          </w:tcPr>
          <w:p>
            <w:pPr>
              <w:spacing w:after="0" w:line="240" w:lineRule="auto"/>
            </w:pPr>
            <w:r>
              <w:rPr>
                <w:rFonts w:ascii="Aptos" w:hAnsi="Aptos"/>
                <w:color w:val="182638"/>
                <w:sz w:val="14"/>
              </w:rPr>
              <w:t>Cascade simulation</w:t>
            </w:r>
          </w:p>
        </w:tc>
        <w:tc>
          <w:tcPr>
            <w:tcW w:type="dxa" w:w="3168"/>
            <w:tcMar>
              <w:top w:w="75" w:type="dxa"/>
              <w:start w:w="90" w:type="dxa"/>
              <w:bottom w:w="75" w:type="dxa"/>
              <w:end w:w="90" w:type="dxa"/>
            </w:tcMar>
            <w:vAlign w:val="top"/>
          </w:tcPr>
          <w:p>
            <w:pPr>
              <w:spacing w:after="0" w:line="240" w:lineRule="auto"/>
            </w:pPr>
            <w:r>
              <w:rPr>
                <w:rFonts w:ascii="Aptos" w:hAnsi="Aptos"/>
                <w:color w:val="182638"/>
                <w:sz w:val="14"/>
              </w:rPr>
              <w:t>Write explicit scenarios with known graph failures (e.g., one or more road edges become unavailable under a stress test). Run no-intervention and intervention versions.</w:t>
            </w:r>
          </w:p>
        </w:tc>
        <w:tc>
          <w:tcPr>
            <w:tcW w:type="dxa" w:w="2880"/>
            <w:tcMar>
              <w:top w:w="75" w:type="dxa"/>
              <w:start w:w="90" w:type="dxa"/>
              <w:bottom w:w="75" w:type="dxa"/>
              <w:end w:w="90" w:type="dxa"/>
            </w:tcMar>
            <w:vAlign w:val="top"/>
          </w:tcPr>
          <w:p>
            <w:pPr>
              <w:spacing w:after="0" w:line="240" w:lineRule="auto"/>
            </w:pPr>
            <w:r>
              <w:rPr>
                <w:rFonts w:ascii="Aptos" w:hAnsi="Aptos"/>
                <w:color w:val="182638"/>
                <w:sz w:val="14"/>
              </w:rPr>
              <w:t>Correctly identifies deliberately disconnected service nodes; % reachable exposure under each scenario; sensitivity to edge failure assumptions.</w:t>
            </w:r>
          </w:p>
        </w:tc>
        <w:tc>
          <w:tcPr>
            <w:tcW w:type="dxa" w:w="2448"/>
            <w:tcMar>
              <w:top w:w="75" w:type="dxa"/>
              <w:start w:w="90" w:type="dxa"/>
              <w:bottom w:w="75" w:type="dxa"/>
              <w:end w:w="90" w:type="dxa"/>
            </w:tcMar>
            <w:vAlign w:val="top"/>
          </w:tcPr>
          <w:p>
            <w:pPr>
              <w:spacing w:after="0" w:line="240" w:lineRule="auto"/>
            </w:pPr>
            <w:r>
              <w:rPr>
                <w:rFonts w:ascii="Aptos" w:hAnsi="Aptos"/>
                <w:color w:val="182638"/>
                <w:sz w:val="14"/>
              </w:rPr>
              <w:t>Do not call synthetic stress tests real-world cascade accuracy.</w:t>
            </w:r>
          </w:p>
        </w:tc>
      </w:tr>
      <w:tr>
        <w:tc>
          <w:tcPr>
            <w:tcW w:type="dxa" w:w="1584"/>
            <w:tcMar>
              <w:top w:w="75" w:type="dxa"/>
              <w:start w:w="90" w:type="dxa"/>
              <w:bottom w:w="75" w:type="dxa"/>
              <w:end w:w="90" w:type="dxa"/>
            </w:tcMar>
            <w:vAlign w:val="top"/>
            <w:shd w:fill="F4F7F9"/>
          </w:tcPr>
          <w:p>
            <w:pPr>
              <w:spacing w:after="0" w:line="240" w:lineRule="auto"/>
            </w:pPr>
            <w:r>
              <w:rPr>
                <w:rFonts w:ascii="Aptos" w:hAnsi="Aptos"/>
                <w:color w:val="182638"/>
                <w:sz w:val="14"/>
              </w:rPr>
              <w:t>Intervention value</w:t>
            </w:r>
          </w:p>
        </w:tc>
        <w:tc>
          <w:tcPr>
            <w:tcW w:type="dxa" w:w="3168"/>
            <w:tcMar>
              <w:top w:w="75" w:type="dxa"/>
              <w:start w:w="90" w:type="dxa"/>
              <w:bottom w:w="75" w:type="dxa"/>
              <w:end w:w="90" w:type="dxa"/>
            </w:tcMar>
            <w:vAlign w:val="top"/>
            <w:shd w:fill="F4F7F9"/>
          </w:tcPr>
          <w:p>
            <w:pPr>
              <w:spacing w:after="0" w:line="240" w:lineRule="auto"/>
            </w:pPr>
            <w:r>
              <w:rPr>
                <w:rFonts w:ascii="Aptos" w:hAnsi="Aptos"/>
                <w:color w:val="182638"/>
                <w:sz w:val="14"/>
              </w:rPr>
              <w:t>Same rainfall and road-failure scenario, same service threshold and same resource budget, with and without intervention.</w:t>
            </w:r>
          </w:p>
        </w:tc>
        <w:tc>
          <w:tcPr>
            <w:tcW w:type="dxa" w:w="2880"/>
            <w:tcMar>
              <w:top w:w="75" w:type="dxa"/>
              <w:start w:w="90" w:type="dxa"/>
              <w:bottom w:w="75" w:type="dxa"/>
              <w:end w:w="90" w:type="dxa"/>
            </w:tcMar>
            <w:vAlign w:val="top"/>
            <w:shd w:fill="F4F7F9"/>
          </w:tcPr>
          <w:p>
            <w:pPr>
              <w:spacing w:after="0" w:line="240" w:lineRule="auto"/>
            </w:pPr>
            <w:r>
              <w:rPr>
                <w:rFonts w:ascii="Aptos" w:hAnsi="Aptos"/>
                <w:color w:val="182638"/>
                <w:sz w:val="14"/>
              </w:rPr>
              <w:t>Delta in population-weighted retained access; high-priority facilities remaining reachable; intervention cost / count.</w:t>
            </w:r>
          </w:p>
        </w:tc>
        <w:tc>
          <w:tcPr>
            <w:tcW w:type="dxa" w:w="2448"/>
            <w:tcMar>
              <w:top w:w="75" w:type="dxa"/>
              <w:start w:w="90" w:type="dxa"/>
              <w:bottom w:w="75" w:type="dxa"/>
              <w:end w:w="90" w:type="dxa"/>
            </w:tcMar>
            <w:vAlign w:val="top"/>
            <w:shd w:fill="F4F7F9"/>
          </w:tcPr>
          <w:p>
            <w:pPr>
              <w:spacing w:after="0" w:line="240" w:lineRule="auto"/>
            </w:pPr>
            <w:r>
              <w:rPr>
                <w:rFonts w:ascii="Aptos" w:hAnsi="Aptos"/>
                <w:color w:val="182638"/>
                <w:sz w:val="14"/>
              </w:rPr>
              <w:t>Do not call modelled population access “lives saved” or actual damage avoided.</w:t>
            </w:r>
          </w:p>
        </w:tc>
      </w:tr>
      <w:tr>
        <w:tc>
          <w:tcPr>
            <w:tcW w:type="dxa" w:w="1584"/>
            <w:tcMar>
              <w:top w:w="75" w:type="dxa"/>
              <w:start w:w="90" w:type="dxa"/>
              <w:bottom w:w="75" w:type="dxa"/>
              <w:end w:w="90" w:type="dxa"/>
            </w:tcMar>
            <w:vAlign w:val="top"/>
          </w:tcPr>
          <w:p>
            <w:pPr>
              <w:spacing w:after="0" w:line="240" w:lineRule="auto"/>
            </w:pPr>
            <w:r>
              <w:rPr>
                <w:rFonts w:ascii="Aptos" w:hAnsi="Aptos"/>
                <w:color w:val="182638"/>
                <w:sz w:val="14"/>
              </w:rPr>
              <w:t>Uncertainty/adversity</w:t>
            </w:r>
          </w:p>
        </w:tc>
        <w:tc>
          <w:tcPr>
            <w:tcW w:type="dxa" w:w="3168"/>
            <w:tcMar>
              <w:top w:w="75" w:type="dxa"/>
              <w:start w:w="90" w:type="dxa"/>
              <w:bottom w:w="75" w:type="dxa"/>
              <w:end w:w="90" w:type="dxa"/>
            </w:tcMar>
            <w:vAlign w:val="top"/>
          </w:tcPr>
          <w:p>
            <w:pPr>
              <w:spacing w:after="0" w:line="240" w:lineRule="auto"/>
            </w:pPr>
            <w:r>
              <w:rPr>
                <w:rFonts w:ascii="Aptos" w:hAnsi="Aptos"/>
                <w:color w:val="182638"/>
                <w:sz w:val="14"/>
              </w:rPr>
              <w:t>Missing 60% feeds; a shared gateway failure; stale, duplicate, late and contradictory report fixtures.</w:t>
            </w:r>
          </w:p>
        </w:tc>
        <w:tc>
          <w:tcPr>
            <w:tcW w:type="dxa" w:w="2880"/>
            <w:tcMar>
              <w:top w:w="75" w:type="dxa"/>
              <w:start w:w="90" w:type="dxa"/>
              <w:bottom w:w="75" w:type="dxa"/>
              <w:end w:w="90" w:type="dxa"/>
            </w:tcMar>
            <w:vAlign w:val="top"/>
          </w:tcPr>
          <w:p>
            <w:pPr>
              <w:spacing w:after="0" w:line="240" w:lineRule="auto"/>
            </w:pPr>
            <w:r>
              <w:rPr>
                <w:rFonts w:ascii="Aptos" w:hAnsi="Aptos"/>
                <w:color w:val="182638"/>
                <w:sz w:val="14"/>
              </w:rPr>
              <w:t>Confidence degradation; no-crash rate; number of unsupported state flips; provenance preserved.</w:t>
            </w:r>
          </w:p>
        </w:tc>
        <w:tc>
          <w:tcPr>
            <w:tcW w:type="dxa" w:w="2448"/>
            <w:tcMar>
              <w:top w:w="75" w:type="dxa"/>
              <w:start w:w="90" w:type="dxa"/>
              <w:bottom w:w="75" w:type="dxa"/>
              <w:end w:w="90" w:type="dxa"/>
            </w:tcMar>
            <w:vAlign w:val="top"/>
          </w:tcPr>
          <w:p>
            <w:pPr>
              <w:spacing w:after="0" w:line="240" w:lineRule="auto"/>
            </w:pPr>
            <w:r>
              <w:rPr>
                <w:rFonts w:ascii="Aptos" w:hAnsi="Aptos"/>
                <w:color w:val="182638"/>
                <w:sz w:val="14"/>
              </w:rPr>
              <w:t>Do not imply a simulated report is actual citizen data.</w:t>
            </w:r>
          </w:p>
        </w:tc>
      </w:tr>
      <w:tr>
        <w:tc>
          <w:tcPr>
            <w:tcW w:type="dxa" w:w="1584"/>
            <w:tcMar>
              <w:top w:w="75" w:type="dxa"/>
              <w:start w:w="90" w:type="dxa"/>
              <w:bottom w:w="75" w:type="dxa"/>
              <w:end w:w="90" w:type="dxa"/>
            </w:tcMar>
            <w:vAlign w:val="top"/>
            <w:shd w:fill="F4F7F9"/>
          </w:tcPr>
          <w:p>
            <w:pPr>
              <w:spacing w:after="0" w:line="240" w:lineRule="auto"/>
            </w:pPr>
            <w:r>
              <w:rPr>
                <w:rFonts w:ascii="Aptos" w:hAnsi="Aptos"/>
                <w:color w:val="182638"/>
                <w:sz w:val="14"/>
              </w:rPr>
              <w:t>Generalization</w:t>
            </w:r>
          </w:p>
        </w:tc>
        <w:tc>
          <w:tcPr>
            <w:tcW w:type="dxa" w:w="3168"/>
            <w:tcMar>
              <w:top w:w="75" w:type="dxa"/>
              <w:start w:w="90" w:type="dxa"/>
              <w:bottom w:w="75" w:type="dxa"/>
              <w:end w:w="90" w:type="dxa"/>
            </w:tcMar>
            <w:vAlign w:val="top"/>
            <w:shd w:fill="F4F7F9"/>
          </w:tcPr>
          <w:p>
            <w:pPr>
              <w:spacing w:after="0" w:line="240" w:lineRule="auto"/>
            </w:pPr>
            <w:r>
              <w:rPr>
                <w:rFonts w:ascii="Aptos" w:hAnsi="Aptos"/>
                <w:color w:val="182638"/>
                <w:sz w:val="14"/>
              </w:rPr>
              <w:t>Hold out one ward/catchment and one stress-test scenario; test source adapters with changed AOI.</w:t>
            </w:r>
          </w:p>
        </w:tc>
        <w:tc>
          <w:tcPr>
            <w:tcW w:type="dxa" w:w="2880"/>
            <w:tcMar>
              <w:top w:w="75" w:type="dxa"/>
              <w:start w:w="90" w:type="dxa"/>
              <w:bottom w:w="75" w:type="dxa"/>
              <w:end w:w="90" w:type="dxa"/>
            </w:tcMar>
            <w:vAlign w:val="top"/>
            <w:shd w:fill="F4F7F9"/>
          </w:tcPr>
          <w:p>
            <w:pPr>
              <w:spacing w:after="0" w:line="240" w:lineRule="auto"/>
            </w:pPr>
            <w:r>
              <w:rPr>
                <w:rFonts w:ascii="Aptos" w:hAnsi="Aptos"/>
                <w:color w:val="182638"/>
                <w:sz w:val="14"/>
              </w:rPr>
              <w:t>Metric stability and documented failure cases.</w:t>
            </w:r>
          </w:p>
        </w:tc>
        <w:tc>
          <w:tcPr>
            <w:tcW w:type="dxa" w:w="2448"/>
            <w:tcMar>
              <w:top w:w="75" w:type="dxa"/>
              <w:start w:w="90" w:type="dxa"/>
              <w:bottom w:w="75" w:type="dxa"/>
              <w:end w:w="90" w:type="dxa"/>
            </w:tcMar>
            <w:vAlign w:val="top"/>
            <w:shd w:fill="F4F7F9"/>
          </w:tcPr>
          <w:p>
            <w:pPr>
              <w:spacing w:after="0" w:line="240" w:lineRule="auto"/>
            </w:pPr>
            <w:r>
              <w:rPr>
                <w:rFonts w:ascii="Aptos" w:hAnsi="Aptos"/>
                <w:color w:val="182638"/>
                <w:sz w:val="14"/>
              </w:rPr>
              <w:t>A single-city demo is not proof of cross-city calibration.</w:t>
            </w:r>
          </w:p>
        </w:tc>
      </w:tr>
    </w:tbl>
    <w:p>
      <w:pPr>
        <w:spacing w:before="0" w:after="0" w:line="20" w:lineRule="exact"/>
      </w:pPr>
    </w:p>
    <w:p>
      <w:pPr>
        <w:pStyle w:val="Heading2"/>
        <w:keepNext/>
      </w:pPr>
      <w:r>
        <w:rPr>
          <w:rFonts w:ascii="Aptos" w:hAnsi="Aptos"/>
          <w:b/>
          <w:color w:val="0F9D91"/>
          <w:sz w:val="26"/>
        </w:rPr>
        <w:t>8.1 Temporal validation guardrails</w:t>
      </w:r>
    </w:p>
    <w:p>
      <w:pPr>
        <w:pStyle w:val="ListBullet"/>
        <w:spacing w:after="50" w:line="245" w:lineRule="auto"/>
        <w:ind w:left="360" w:hanging="216"/>
      </w:pPr>
      <w:r>
        <w:rPr>
          <w:rFonts w:ascii="Aptos" w:hAnsi="Aptos"/>
          <w:color w:val="182638"/>
          <w:sz w:val="18"/>
        </w:rPr>
        <w:t>Split by time, not row. For example, use 2015–2020 for training, 2021 for tuning and 2022 as final held-out test where the dataset supports it; adapt after inspecting actual coverage.</w:t>
      </w:r>
    </w:p>
    <w:p>
      <w:pPr>
        <w:pStyle w:val="ListBullet"/>
        <w:spacing w:after="50" w:line="245" w:lineRule="auto"/>
        <w:ind w:left="360" w:hanging="216"/>
      </w:pPr>
      <w:r>
        <w:rPr>
          <w:rFonts w:ascii="Aptos" w:hAnsi="Aptos"/>
          <w:color w:val="182638"/>
          <w:sz w:val="18"/>
        </w:rPr>
        <w:t>Fit normalizers, imputation statistics and thresholds on training/validation only; freeze them for test evaluation.</w:t>
      </w:r>
    </w:p>
    <w:p>
      <w:pPr>
        <w:pStyle w:val="ListBullet"/>
        <w:spacing w:after="50" w:line="245" w:lineRule="auto"/>
        <w:ind w:left="360" w:hanging="216"/>
      </w:pPr>
      <w:r>
        <w:rPr>
          <w:rFonts w:ascii="Aptos" w:hAnsi="Aptos"/>
          <w:color w:val="182638"/>
          <w:sz w:val="18"/>
        </w:rPr>
        <w:t>For forecast features, keep issue time and valid time. A forecast made after the target event is not a legitimate predictor even if it has a matching timestamp.</w:t>
      </w:r>
    </w:p>
    <w:p>
      <w:pPr>
        <w:pStyle w:val="ListBullet"/>
        <w:spacing w:after="50" w:line="245" w:lineRule="auto"/>
        <w:ind w:left="360" w:hanging="216"/>
      </w:pPr>
      <w:r>
        <w:rPr>
          <w:rFonts w:ascii="Aptos" w:hAnsi="Aptos"/>
          <w:color w:val="182638"/>
          <w:sz w:val="18"/>
        </w:rPr>
        <w:t>For a current 72-hour dashboard, cache the forecast as a named snapshot with fetch timestamp. Replay from that immutable snapshot, not from a later-updated API response.</w:t>
      </w:r>
    </w:p>
    <w:p>
      <w:pPr>
        <w:pStyle w:val="ListBullet"/>
        <w:spacing w:after="50" w:line="245" w:lineRule="auto"/>
        <w:ind w:left="360" w:hanging="216"/>
      </w:pPr>
      <w:r>
        <w:rPr>
          <w:rFonts w:ascii="Aptos" w:hAnsi="Aptos"/>
          <w:color w:val="182638"/>
          <w:sz w:val="18"/>
        </w:rPr>
        <w:t>Every output must distinguish observed, forecast, reanalysis, modelled and scenario-assumption fields.</w:t>
      </w:r>
    </w:p>
    <w:p>
      <w:pPr>
        <w:pStyle w:val="Heading2"/>
        <w:keepNext/>
      </w:pPr>
      <w:r>
        <w:rPr>
          <w:rFonts w:ascii="Aptos" w:hAnsi="Aptos"/>
          <w:b/>
          <w:color w:val="0F9D91"/>
          <w:sz w:val="26"/>
        </w:rPr>
        <w:t>8.2 The historical demo story: Mumbai, 26–27 July 2005</w:t>
      </w:r>
    </w:p>
    <w:p>
      <w:pPr>
        <w:spacing w:before="0" w:after="100" w:line="252" w:lineRule="auto"/>
      </w:pPr>
      <w:r>
        <w:rPr>
          <w:rFonts w:ascii="Aptos" w:hAnsi="Aptos"/>
          <w:i w:val="0"/>
        </w:rPr>
        <w:t>The 2005 extreme-rainfall event is a strong narrative and stress-test reference: published work reports 944.2 mm at Santacruz over 24 hours versus about 74 mm at Colaba during the cited period, illustrating severe spatial heterogeneity. [R31] If time allows, replay the published sub-period rainfall sequence, but do not imply it is the exact live feed or that your present-day GIS graph reproduces the historical city impacts.</w:t>
      </w:r>
    </w:p>
    <w:p>
      <w:pPr>
        <w:spacing w:before="0" w:after="100" w:line="252" w:lineRule="auto"/>
      </w:pPr>
      <w:r>
        <w:rPr>
          <w:rFonts w:ascii="Aptos" w:hAnsi="Aptos"/>
          <w:i/>
          <w:color w:val="5C6B78"/>
          <w:sz w:val="17"/>
        </w:rPr>
        <w:t>The Mumbai station dataset begins in 2015, so it does not contain the 2005 event as part of its local 15-minute station series. Treat the event as a literature-based stress scenario, not a train/test example from that repo. Use the 2015–2022 series for actual temporal testing, and label the 2005 replay as an external stress test.</w:t>
      </w:r>
    </w:p>
    <w:p>
      <w:r>
        <w:br w:type="page"/>
      </w:r>
    </w:p>
    <w:p>
      <w:pPr>
        <w:pStyle w:val="Heading1"/>
        <w:keepNext/>
      </w:pPr>
      <w:r>
        <w:rPr>
          <w:rFonts w:ascii="Aptos" w:hAnsi="Aptos"/>
          <w:b/>
          <w:color w:val="142338"/>
          <w:sz w:val="36"/>
        </w:rPr>
        <w:t>9. Twenty-four-hour execution schedule and team split</w:t>
      </w:r>
    </w:p>
    <w:p>
      <w:pPr>
        <w:spacing w:before="0" w:after="100" w:line="252" w:lineRule="auto"/>
      </w:pPr>
      <w:r>
        <w:rPr>
          <w:rFonts w:ascii="Aptos" w:hAnsi="Aptos"/>
          <w:i w:val="0"/>
        </w:rPr>
        <w:t>The hackathon brief describes a 24-hour offline build. The product must therefore run on one laptop with its input snapshots already saved. The schedule prioritizes proof of data viability, a working cascade engine, and a convincing impact comparison before visual polish.</w:t>
      </w:r>
    </w:p>
    <w:tbl>
      <w:tblPr>
        <w:tblW w:type="auto" w:w="0"/>
        <w:jc w:val="center"/>
        <w:tblLayout w:type="fixed"/>
        <w:tblLook w:firstColumn="1" w:firstRow="1" w:lastColumn="0" w:lastRow="0" w:noHBand="0" w:noVBand="1" w:val="04A0"/>
      </w:tblPr>
      <w:tblGrid>
        <w:gridCol w:w="1656"/>
        <w:gridCol w:w="3672"/>
        <w:gridCol w:w="4752"/>
      </w:tblGrid>
      <w:tr>
        <w:trPr>
          <w:tblHeader w:val="true"/>
        </w:trPr>
        <w:tc>
          <w:tcPr>
            <w:tcW w:type="dxa" w:w="3389"/>
            <w:shd w:fill="142338"/>
            <w:tcMar>
              <w:top w:w="85" w:type="dxa"/>
              <w:start w:w="90" w:type="dxa"/>
              <w:bottom w:w="85" w:type="dxa"/>
              <w:end w:w="90" w:type="dxa"/>
            </w:tcMar>
            <w:vAlign w:val="center"/>
          </w:tcPr>
          <w:p>
            <w:pPr>
              <w:spacing w:after="0"/>
            </w:pPr>
            <w:r>
              <w:rPr>
                <w:rFonts w:ascii="Aptos" w:hAnsi="Aptos"/>
                <w:b/>
                <w:color w:val="FFFFFF"/>
                <w:sz w:val="14"/>
              </w:rPr>
              <w:t>Elapsed time</w:t>
            </w:r>
          </w:p>
        </w:tc>
        <w:tc>
          <w:tcPr>
            <w:tcW w:type="dxa" w:w="3389"/>
            <w:shd w:fill="142338"/>
            <w:tcMar>
              <w:top w:w="85" w:type="dxa"/>
              <w:start w:w="90" w:type="dxa"/>
              <w:bottom w:w="85" w:type="dxa"/>
              <w:end w:w="90" w:type="dxa"/>
            </w:tcMar>
            <w:vAlign w:val="center"/>
          </w:tcPr>
          <w:p>
            <w:pPr>
              <w:spacing w:after="0"/>
            </w:pPr>
            <w:r>
              <w:rPr>
                <w:rFonts w:ascii="Aptos" w:hAnsi="Aptos"/>
                <w:b/>
                <w:color w:val="FFFFFF"/>
                <w:sz w:val="14"/>
              </w:rPr>
              <w:t>Deliverable</w:t>
            </w:r>
          </w:p>
        </w:tc>
        <w:tc>
          <w:tcPr>
            <w:tcW w:type="dxa" w:w="3389"/>
            <w:shd w:fill="142338"/>
            <w:tcMar>
              <w:top w:w="85" w:type="dxa"/>
              <w:start w:w="90" w:type="dxa"/>
              <w:bottom w:w="85" w:type="dxa"/>
              <w:end w:w="90" w:type="dxa"/>
            </w:tcMar>
            <w:vAlign w:val="center"/>
          </w:tcPr>
          <w:p>
            <w:pPr>
              <w:spacing w:after="0"/>
            </w:pPr>
            <w:r>
              <w:rPr>
                <w:rFonts w:ascii="Aptos" w:hAnsi="Aptos"/>
                <w:b/>
                <w:color w:val="FFFFFF"/>
                <w:sz w:val="14"/>
              </w:rPr>
              <w:t>Hard gate / definition of done</w:t>
            </w:r>
          </w:p>
        </w:tc>
      </w:tr>
      <w:tr>
        <w:tc>
          <w:tcPr>
            <w:tcW w:type="dxa" w:w="1656"/>
            <w:tcMar>
              <w:top w:w="75" w:type="dxa"/>
              <w:start w:w="90" w:type="dxa"/>
              <w:bottom w:w="75" w:type="dxa"/>
              <w:end w:w="90" w:type="dxa"/>
            </w:tcMar>
            <w:vAlign w:val="top"/>
          </w:tcPr>
          <w:p>
            <w:pPr>
              <w:spacing w:after="0" w:line="240" w:lineRule="auto"/>
            </w:pPr>
            <w:r>
              <w:rPr>
                <w:rFonts w:ascii="Aptos" w:hAnsi="Aptos"/>
                <w:color w:val="182638"/>
                <w:sz w:val="14"/>
              </w:rPr>
              <w:t>0:00–1:00</w:t>
            </w:r>
          </w:p>
        </w:tc>
        <w:tc>
          <w:tcPr>
            <w:tcW w:type="dxa" w:w="3672"/>
            <w:tcMar>
              <w:top w:w="75" w:type="dxa"/>
              <w:start w:w="90" w:type="dxa"/>
              <w:bottom w:w="75" w:type="dxa"/>
              <w:end w:w="90" w:type="dxa"/>
            </w:tcMar>
            <w:vAlign w:val="top"/>
          </w:tcPr>
          <w:p>
            <w:pPr>
              <w:spacing w:after="0" w:line="240" w:lineRule="auto"/>
            </w:pPr>
            <w:r>
              <w:rPr>
                <w:rFonts w:ascii="Aptos" w:hAnsi="Aptos"/>
                <w:color w:val="182638"/>
                <w:sz w:val="14"/>
              </w:rPr>
              <w:t>Data viability sprint: MCGM layer query, rainfall dataset download, AOI selected.</w:t>
            </w:r>
          </w:p>
        </w:tc>
        <w:tc>
          <w:tcPr>
            <w:tcW w:type="dxa" w:w="4752"/>
            <w:tcMar>
              <w:top w:w="75" w:type="dxa"/>
              <w:start w:w="90" w:type="dxa"/>
              <w:bottom w:w="75" w:type="dxa"/>
              <w:end w:w="90" w:type="dxa"/>
            </w:tcMar>
            <w:vAlign w:val="top"/>
          </w:tcPr>
          <w:p>
            <w:pPr>
              <w:spacing w:after="0" w:line="240" w:lineRule="auto"/>
            </w:pPr>
            <w:r>
              <w:rPr>
                <w:rFonts w:ascii="Aptos" w:hAnsi="Aptos"/>
                <w:color w:val="182638"/>
                <w:sz w:val="14"/>
              </w:rPr>
              <w:t>If MCGM geometry query fails, switch to OSM fallback immediately. No unbounded portal debugging after the first hour.</w:t>
            </w:r>
          </w:p>
        </w:tc>
      </w:tr>
      <w:tr>
        <w:tc>
          <w:tcPr>
            <w:tcW w:type="dxa" w:w="1656"/>
            <w:tcMar>
              <w:top w:w="75" w:type="dxa"/>
              <w:start w:w="90" w:type="dxa"/>
              <w:bottom w:w="75" w:type="dxa"/>
              <w:end w:w="90" w:type="dxa"/>
            </w:tcMar>
            <w:vAlign w:val="top"/>
            <w:shd w:fill="F4F7F9"/>
          </w:tcPr>
          <w:p>
            <w:pPr>
              <w:spacing w:after="0" w:line="240" w:lineRule="auto"/>
            </w:pPr>
            <w:r>
              <w:rPr>
                <w:rFonts w:ascii="Aptos" w:hAnsi="Aptos"/>
                <w:color w:val="182638"/>
                <w:sz w:val="14"/>
              </w:rPr>
              <w:t>1:00–4:00</w:t>
            </w:r>
          </w:p>
        </w:tc>
        <w:tc>
          <w:tcPr>
            <w:tcW w:type="dxa" w:w="3672"/>
            <w:tcMar>
              <w:top w:w="75" w:type="dxa"/>
              <w:start w:w="90" w:type="dxa"/>
              <w:bottom w:w="75" w:type="dxa"/>
              <w:end w:w="90" w:type="dxa"/>
            </w:tcMar>
            <w:vAlign w:val="top"/>
            <w:shd w:fill="F4F7F9"/>
          </w:tcPr>
          <w:p>
            <w:pPr>
              <w:spacing w:after="0" w:line="240" w:lineRule="auto"/>
            </w:pPr>
            <w:r>
              <w:rPr>
                <w:rFonts w:ascii="Aptos" w:hAnsi="Aptos"/>
                <w:color w:val="182638"/>
                <w:sz w:val="14"/>
              </w:rPr>
              <w:t>Preprocessed local dataset, CRS normalized to EPSG:4326 for web, source manifest, minimal map.</w:t>
            </w:r>
          </w:p>
        </w:tc>
        <w:tc>
          <w:tcPr>
            <w:tcW w:type="dxa" w:w="4752"/>
            <w:tcMar>
              <w:top w:w="75" w:type="dxa"/>
              <w:start w:w="90" w:type="dxa"/>
              <w:bottom w:w="75" w:type="dxa"/>
              <w:end w:w="90" w:type="dxa"/>
            </w:tcMar>
            <w:vAlign w:val="top"/>
            <w:shd w:fill="F4F7F9"/>
          </w:tcPr>
          <w:p>
            <w:pPr>
              <w:spacing w:after="0" w:line="240" w:lineRule="auto"/>
            </w:pPr>
            <w:r>
              <w:rPr>
                <w:rFonts w:ascii="Aptos" w:hAnsi="Aptos"/>
                <w:color w:val="182638"/>
                <w:sz w:val="14"/>
              </w:rPr>
              <w:t>At least one usable flood-hotspot layer, road graph, a facility layer and rainfall input exist locally. If population absent, do not fake people-at-risk values.</w:t>
            </w:r>
          </w:p>
        </w:tc>
      </w:tr>
      <w:tr>
        <w:tc>
          <w:tcPr>
            <w:tcW w:type="dxa" w:w="1656"/>
            <w:tcMar>
              <w:top w:w="75" w:type="dxa"/>
              <w:start w:w="90" w:type="dxa"/>
              <w:bottom w:w="75" w:type="dxa"/>
              <w:end w:w="90" w:type="dxa"/>
            </w:tcMar>
            <w:vAlign w:val="top"/>
          </w:tcPr>
          <w:p>
            <w:pPr>
              <w:spacing w:after="0" w:line="240" w:lineRule="auto"/>
            </w:pPr>
            <w:r>
              <w:rPr>
                <w:rFonts w:ascii="Aptos" w:hAnsi="Aptos"/>
                <w:color w:val="182638"/>
                <w:sz w:val="14"/>
              </w:rPr>
              <w:t>4:00–7:00</w:t>
            </w:r>
          </w:p>
        </w:tc>
        <w:tc>
          <w:tcPr>
            <w:tcW w:type="dxa" w:w="3672"/>
            <w:tcMar>
              <w:top w:w="75" w:type="dxa"/>
              <w:start w:w="90" w:type="dxa"/>
              <w:bottom w:w="75" w:type="dxa"/>
              <w:end w:w="90" w:type="dxa"/>
            </w:tcMar>
            <w:vAlign w:val="top"/>
          </w:tcPr>
          <w:p>
            <w:pPr>
              <w:spacing w:after="0" w:line="240" w:lineRule="auto"/>
            </w:pPr>
            <w:r>
              <w:rPr>
                <w:rFonts w:ascii="Aptos" w:hAnsi="Aptos"/>
                <w:color w:val="182638"/>
                <w:sz w:val="14"/>
              </w:rPr>
              <w:t>Risk feature pipeline and horizon data contract.</w:t>
            </w:r>
          </w:p>
        </w:tc>
        <w:tc>
          <w:tcPr>
            <w:tcW w:type="dxa" w:w="4752"/>
            <w:tcMar>
              <w:top w:w="75" w:type="dxa"/>
              <w:start w:w="90" w:type="dxa"/>
              <w:bottom w:w="75" w:type="dxa"/>
              <w:end w:w="90" w:type="dxa"/>
            </w:tcMar>
            <w:vAlign w:val="top"/>
          </w:tcPr>
          <w:p>
            <w:pPr>
              <w:spacing w:after="0" w:line="240" w:lineRule="auto"/>
            </w:pPr>
            <w:r>
              <w:rPr>
                <w:rFonts w:ascii="Aptos" w:hAnsi="Aptos"/>
                <w:color w:val="182638"/>
                <w:sz w:val="14"/>
              </w:rPr>
              <w:t>For each zone and horizon, produce a numeric relative risk score + source confidence + driver list.</w:t>
            </w:r>
          </w:p>
        </w:tc>
      </w:tr>
      <w:tr>
        <w:tc>
          <w:tcPr>
            <w:tcW w:type="dxa" w:w="1656"/>
            <w:tcMar>
              <w:top w:w="75" w:type="dxa"/>
              <w:start w:w="90" w:type="dxa"/>
              <w:bottom w:w="75" w:type="dxa"/>
              <w:end w:w="90" w:type="dxa"/>
            </w:tcMar>
            <w:vAlign w:val="top"/>
            <w:shd w:fill="F4F7F9"/>
          </w:tcPr>
          <w:p>
            <w:pPr>
              <w:spacing w:after="0" w:line="240" w:lineRule="auto"/>
            </w:pPr>
            <w:r>
              <w:rPr>
                <w:rFonts w:ascii="Aptos" w:hAnsi="Aptos"/>
                <w:color w:val="182638"/>
                <w:sz w:val="14"/>
              </w:rPr>
              <w:t>7:00–11:00</w:t>
            </w:r>
          </w:p>
        </w:tc>
        <w:tc>
          <w:tcPr>
            <w:tcW w:type="dxa" w:w="3672"/>
            <w:tcMar>
              <w:top w:w="75" w:type="dxa"/>
              <w:start w:w="90" w:type="dxa"/>
              <w:bottom w:w="75" w:type="dxa"/>
              <w:end w:w="90" w:type="dxa"/>
            </w:tcMar>
            <w:vAlign w:val="top"/>
            <w:shd w:fill="F4F7F9"/>
          </w:tcPr>
          <w:p>
            <w:pPr>
              <w:spacing w:after="0" w:line="240" w:lineRule="auto"/>
            </w:pPr>
            <w:r>
              <w:rPr>
                <w:rFonts w:ascii="Aptos" w:hAnsi="Aptos"/>
                <w:color w:val="182638"/>
                <w:sz w:val="14"/>
              </w:rPr>
              <w:t>Cascade graph / road accessibility calculation.</w:t>
            </w:r>
          </w:p>
        </w:tc>
        <w:tc>
          <w:tcPr>
            <w:tcW w:type="dxa" w:w="4752"/>
            <w:tcMar>
              <w:top w:w="75" w:type="dxa"/>
              <w:start w:w="90" w:type="dxa"/>
              <w:bottom w:w="75" w:type="dxa"/>
              <w:end w:w="90" w:type="dxa"/>
            </w:tcMar>
            <w:vAlign w:val="top"/>
            <w:shd w:fill="F4F7F9"/>
          </w:tcPr>
          <w:p>
            <w:pPr>
              <w:spacing w:after="0" w:line="240" w:lineRule="auto"/>
            </w:pPr>
            <w:r>
              <w:rPr>
                <w:rFonts w:ascii="Aptos" w:hAnsi="Aptos"/>
                <w:color w:val="182638"/>
                <w:sz w:val="14"/>
              </w:rPr>
              <w:t>One test storm produces at least one fully traceable chain to a facility/settlement access change.</w:t>
            </w:r>
          </w:p>
        </w:tc>
      </w:tr>
      <w:tr>
        <w:tc>
          <w:tcPr>
            <w:tcW w:type="dxa" w:w="1656"/>
            <w:tcMar>
              <w:top w:w="75" w:type="dxa"/>
              <w:start w:w="90" w:type="dxa"/>
              <w:bottom w:w="75" w:type="dxa"/>
              <w:end w:w="90" w:type="dxa"/>
            </w:tcMar>
            <w:vAlign w:val="top"/>
          </w:tcPr>
          <w:p>
            <w:pPr>
              <w:spacing w:after="0" w:line="240" w:lineRule="auto"/>
            </w:pPr>
            <w:r>
              <w:rPr>
                <w:rFonts w:ascii="Aptos" w:hAnsi="Aptos"/>
                <w:color w:val="182638"/>
                <w:sz w:val="14"/>
              </w:rPr>
              <w:t>11:00–14:00</w:t>
            </w:r>
          </w:p>
        </w:tc>
        <w:tc>
          <w:tcPr>
            <w:tcW w:type="dxa" w:w="3672"/>
            <w:tcMar>
              <w:top w:w="75" w:type="dxa"/>
              <w:start w:w="90" w:type="dxa"/>
              <w:bottom w:w="75" w:type="dxa"/>
              <w:end w:w="90" w:type="dxa"/>
            </w:tcMar>
            <w:vAlign w:val="top"/>
          </w:tcPr>
          <w:p>
            <w:pPr>
              <w:spacing w:after="0" w:line="240" w:lineRule="auto"/>
            </w:pPr>
            <w:r>
              <w:rPr>
                <w:rFonts w:ascii="Aptos" w:hAnsi="Aptos"/>
                <w:color w:val="182638"/>
                <w:sz w:val="14"/>
              </w:rPr>
              <w:t>Intervention optimizer and baseline comparison.</w:t>
            </w:r>
          </w:p>
        </w:tc>
        <w:tc>
          <w:tcPr>
            <w:tcW w:type="dxa" w:w="4752"/>
            <w:tcMar>
              <w:top w:w="75" w:type="dxa"/>
              <w:start w:w="90" w:type="dxa"/>
              <w:bottom w:w="75" w:type="dxa"/>
              <w:end w:w="90" w:type="dxa"/>
            </w:tcMar>
            <w:vAlign w:val="top"/>
          </w:tcPr>
          <w:p>
            <w:pPr>
              <w:spacing w:after="0" w:line="240" w:lineRule="auto"/>
            </w:pPr>
            <w:r>
              <w:rPr>
                <w:rFonts w:ascii="Aptos" w:hAnsi="Aptos"/>
                <w:color w:val="182638"/>
                <w:sz w:val="14"/>
              </w:rPr>
              <w:t>For a fixed resource budget, candidate placement changes at least one measurable reachability/access metric; unit tests confirm same scenario comparison.</w:t>
            </w:r>
          </w:p>
        </w:tc>
      </w:tr>
      <w:tr>
        <w:tc>
          <w:tcPr>
            <w:tcW w:type="dxa" w:w="1656"/>
            <w:tcMar>
              <w:top w:w="75" w:type="dxa"/>
              <w:start w:w="90" w:type="dxa"/>
              <w:bottom w:w="75" w:type="dxa"/>
              <w:end w:w="90" w:type="dxa"/>
            </w:tcMar>
            <w:vAlign w:val="top"/>
            <w:shd w:fill="F4F7F9"/>
          </w:tcPr>
          <w:p>
            <w:pPr>
              <w:spacing w:after="0" w:line="240" w:lineRule="auto"/>
            </w:pPr>
            <w:r>
              <w:rPr>
                <w:rFonts w:ascii="Aptos" w:hAnsi="Aptos"/>
                <w:color w:val="182638"/>
                <w:sz w:val="14"/>
              </w:rPr>
              <w:t>14:00–18:00</w:t>
            </w:r>
          </w:p>
        </w:tc>
        <w:tc>
          <w:tcPr>
            <w:tcW w:type="dxa" w:w="3672"/>
            <w:tcMar>
              <w:top w:w="75" w:type="dxa"/>
              <w:start w:w="90" w:type="dxa"/>
              <w:bottom w:w="75" w:type="dxa"/>
              <w:end w:w="90" w:type="dxa"/>
            </w:tcMar>
            <w:vAlign w:val="top"/>
            <w:shd w:fill="F4F7F9"/>
          </w:tcPr>
          <w:p>
            <w:pPr>
              <w:spacing w:after="0" w:line="240" w:lineRule="auto"/>
            </w:pPr>
            <w:r>
              <w:rPr>
                <w:rFonts w:ascii="Aptos" w:hAnsi="Aptos"/>
                <w:color w:val="182638"/>
                <w:sz w:val="14"/>
              </w:rPr>
              <w:t>3D MapLibre interface, timeline, selected-zone card and cascade trace.</w:t>
            </w:r>
          </w:p>
        </w:tc>
        <w:tc>
          <w:tcPr>
            <w:tcW w:type="dxa" w:w="4752"/>
            <w:tcMar>
              <w:top w:w="75" w:type="dxa"/>
              <w:start w:w="90" w:type="dxa"/>
              <w:bottom w:w="75" w:type="dxa"/>
              <w:end w:w="90" w:type="dxa"/>
            </w:tcMar>
            <w:vAlign w:val="top"/>
            <w:shd w:fill="F4F7F9"/>
          </w:tcPr>
          <w:p>
            <w:pPr>
              <w:spacing w:after="0" w:line="240" w:lineRule="auto"/>
            </w:pPr>
            <w:r>
              <w:rPr>
                <w:rFonts w:ascii="Aptos" w:hAnsi="Aptos"/>
                <w:color w:val="182638"/>
                <w:sz w:val="14"/>
              </w:rPr>
              <w:t>Visual transitions are driven by backend result JSON; no fake depth numbers. Map works from local assets.</w:t>
            </w:r>
          </w:p>
        </w:tc>
      </w:tr>
      <w:tr>
        <w:tc>
          <w:tcPr>
            <w:tcW w:type="dxa" w:w="1656"/>
            <w:tcMar>
              <w:top w:w="75" w:type="dxa"/>
              <w:start w:w="90" w:type="dxa"/>
              <w:bottom w:w="75" w:type="dxa"/>
              <w:end w:w="90" w:type="dxa"/>
            </w:tcMar>
            <w:vAlign w:val="top"/>
          </w:tcPr>
          <w:p>
            <w:pPr>
              <w:spacing w:after="0" w:line="240" w:lineRule="auto"/>
            </w:pPr>
            <w:r>
              <w:rPr>
                <w:rFonts w:ascii="Aptos" w:hAnsi="Aptos"/>
                <w:color w:val="182638"/>
                <w:sz w:val="14"/>
              </w:rPr>
              <w:t>18:00–20:00</w:t>
            </w:r>
          </w:p>
        </w:tc>
        <w:tc>
          <w:tcPr>
            <w:tcW w:type="dxa" w:w="3672"/>
            <w:tcMar>
              <w:top w:w="75" w:type="dxa"/>
              <w:start w:w="90" w:type="dxa"/>
              <w:bottom w:w="75" w:type="dxa"/>
              <w:end w:w="90" w:type="dxa"/>
            </w:tcMar>
            <w:vAlign w:val="top"/>
          </w:tcPr>
          <w:p>
            <w:pPr>
              <w:spacing w:after="0" w:line="240" w:lineRule="auto"/>
            </w:pPr>
            <w:r>
              <w:rPr>
                <w:rFonts w:ascii="Aptos" w:hAnsi="Aptos"/>
                <w:color w:val="182638"/>
                <w:sz w:val="14"/>
              </w:rPr>
              <w:t>Evaluation and red-team scenarios.</w:t>
            </w:r>
          </w:p>
        </w:tc>
        <w:tc>
          <w:tcPr>
            <w:tcW w:type="dxa" w:w="4752"/>
            <w:tcMar>
              <w:top w:w="75" w:type="dxa"/>
              <w:start w:w="90" w:type="dxa"/>
              <w:bottom w:w="75" w:type="dxa"/>
              <w:end w:w="90" w:type="dxa"/>
            </w:tcMar>
            <w:vAlign w:val="top"/>
          </w:tcPr>
          <w:p>
            <w:pPr>
              <w:spacing w:after="0" w:line="240" w:lineRule="auto"/>
            </w:pPr>
            <w:r>
              <w:rPr>
                <w:rFonts w:ascii="Aptos" w:hAnsi="Aptos"/>
                <w:color w:val="182638"/>
                <w:sz w:val="14"/>
              </w:rPr>
              <w:t>Chronological rainfall test or baseline; missing/correlated feed test; output receipts written to JSON.</w:t>
            </w:r>
          </w:p>
        </w:tc>
      </w:tr>
      <w:tr>
        <w:tc>
          <w:tcPr>
            <w:tcW w:type="dxa" w:w="1656"/>
            <w:tcMar>
              <w:top w:w="75" w:type="dxa"/>
              <w:start w:w="90" w:type="dxa"/>
              <w:bottom w:w="75" w:type="dxa"/>
              <w:end w:w="90" w:type="dxa"/>
            </w:tcMar>
            <w:vAlign w:val="top"/>
            <w:shd w:fill="F4F7F9"/>
          </w:tcPr>
          <w:p>
            <w:pPr>
              <w:spacing w:after="0" w:line="240" w:lineRule="auto"/>
            </w:pPr>
            <w:r>
              <w:rPr>
                <w:rFonts w:ascii="Aptos" w:hAnsi="Aptos"/>
                <w:color w:val="182638"/>
                <w:sz w:val="14"/>
              </w:rPr>
              <w:t>20:00–22:00</w:t>
            </w:r>
          </w:p>
        </w:tc>
        <w:tc>
          <w:tcPr>
            <w:tcW w:type="dxa" w:w="3672"/>
            <w:tcMar>
              <w:top w:w="75" w:type="dxa"/>
              <w:start w:w="90" w:type="dxa"/>
              <w:bottom w:w="75" w:type="dxa"/>
              <w:end w:w="90" w:type="dxa"/>
            </w:tcMar>
            <w:vAlign w:val="top"/>
            <w:shd w:fill="F4F7F9"/>
          </w:tcPr>
          <w:p>
            <w:pPr>
              <w:spacing w:after="0" w:line="240" w:lineRule="auto"/>
            </w:pPr>
            <w:r>
              <w:rPr>
                <w:rFonts w:ascii="Aptos" w:hAnsi="Aptos"/>
                <w:color w:val="182638"/>
                <w:sz w:val="14"/>
              </w:rPr>
              <w:t>Polish / demo replay / attribution / offline rehearsal.</w:t>
            </w:r>
          </w:p>
        </w:tc>
        <w:tc>
          <w:tcPr>
            <w:tcW w:type="dxa" w:w="4752"/>
            <w:tcMar>
              <w:top w:w="75" w:type="dxa"/>
              <w:start w:w="90" w:type="dxa"/>
              <w:bottom w:w="75" w:type="dxa"/>
              <w:end w:w="90" w:type="dxa"/>
            </w:tcMar>
            <w:vAlign w:val="top"/>
            <w:shd w:fill="F4F7F9"/>
          </w:tcPr>
          <w:p>
            <w:pPr>
              <w:spacing w:after="0" w:line="240" w:lineRule="auto"/>
            </w:pPr>
            <w:r>
              <w:rPr>
                <w:rFonts w:ascii="Aptos" w:hAnsi="Aptos"/>
                <w:color w:val="182638"/>
                <w:sz w:val="14"/>
              </w:rPr>
              <w:t>Disconnect network and reload. All core layers, icons, fonts, and scenario data still render.</w:t>
            </w:r>
          </w:p>
        </w:tc>
      </w:tr>
      <w:tr>
        <w:tc>
          <w:tcPr>
            <w:tcW w:type="dxa" w:w="1656"/>
            <w:tcMar>
              <w:top w:w="75" w:type="dxa"/>
              <w:start w:w="90" w:type="dxa"/>
              <w:bottom w:w="75" w:type="dxa"/>
              <w:end w:w="90" w:type="dxa"/>
            </w:tcMar>
            <w:vAlign w:val="top"/>
          </w:tcPr>
          <w:p>
            <w:pPr>
              <w:spacing w:after="0" w:line="240" w:lineRule="auto"/>
            </w:pPr>
            <w:r>
              <w:rPr>
                <w:rFonts w:ascii="Aptos" w:hAnsi="Aptos"/>
                <w:color w:val="182638"/>
                <w:sz w:val="14"/>
              </w:rPr>
              <w:t>22:00–24:00</w:t>
            </w:r>
          </w:p>
        </w:tc>
        <w:tc>
          <w:tcPr>
            <w:tcW w:type="dxa" w:w="3672"/>
            <w:tcMar>
              <w:top w:w="75" w:type="dxa"/>
              <w:start w:w="90" w:type="dxa"/>
              <w:bottom w:w="75" w:type="dxa"/>
              <w:end w:w="90" w:type="dxa"/>
            </w:tcMar>
            <w:vAlign w:val="top"/>
          </w:tcPr>
          <w:p>
            <w:pPr>
              <w:spacing w:after="0" w:line="240" w:lineRule="auto"/>
            </w:pPr>
            <w:r>
              <w:rPr>
                <w:rFonts w:ascii="Aptos" w:hAnsi="Aptos"/>
                <w:color w:val="182638"/>
                <w:sz w:val="14"/>
              </w:rPr>
              <w:t>Freeze, bug fixing, pitch rehearsal and submission artifact check.</w:t>
            </w:r>
          </w:p>
        </w:tc>
        <w:tc>
          <w:tcPr>
            <w:tcW w:type="dxa" w:w="4752"/>
            <w:tcMar>
              <w:top w:w="75" w:type="dxa"/>
              <w:start w:w="90" w:type="dxa"/>
              <w:bottom w:w="75" w:type="dxa"/>
              <w:end w:w="90" w:type="dxa"/>
            </w:tcMar>
            <w:vAlign w:val="top"/>
          </w:tcPr>
          <w:p>
            <w:pPr>
              <w:spacing w:after="0" w:line="240" w:lineRule="auto"/>
            </w:pPr>
            <w:r>
              <w:rPr>
                <w:rFonts w:ascii="Aptos" w:hAnsi="Aptos"/>
                <w:color w:val="182638"/>
                <w:sz w:val="14"/>
              </w:rPr>
              <w:t>No new major feature after freeze. Prepare screen recording/backup screenshots and data-source notes.</w:t>
            </w:r>
          </w:p>
        </w:tc>
      </w:tr>
    </w:tbl>
    <w:p>
      <w:pPr>
        <w:spacing w:before="0" w:after="0" w:line="20" w:lineRule="exact"/>
      </w:pPr>
    </w:p>
    <w:p>
      <w:pPr>
        <w:pStyle w:val="Heading2"/>
        <w:keepNext/>
      </w:pPr>
      <w:r>
        <w:rPr>
          <w:rFonts w:ascii="Aptos" w:hAnsi="Aptos"/>
          <w:b/>
          <w:color w:val="0F9D91"/>
          <w:sz w:val="26"/>
        </w:rPr>
        <w:t>9.1 Parallel work split for a four-person team</w:t>
      </w:r>
    </w:p>
    <w:tbl>
      <w:tblPr>
        <w:tblW w:type="auto" w:w="0"/>
        <w:jc w:val="center"/>
        <w:tblLayout w:type="fixed"/>
        <w:tblLook w:firstColumn="1" w:firstRow="1" w:lastColumn="0" w:lastRow="0" w:noHBand="0" w:noVBand="1" w:val="04A0"/>
      </w:tblPr>
      <w:tblGrid>
        <w:gridCol w:w="1872"/>
        <w:gridCol w:w="4752"/>
        <w:gridCol w:w="3456"/>
      </w:tblGrid>
      <w:tr>
        <w:trPr>
          <w:tblHeader w:val="true"/>
        </w:trPr>
        <w:tc>
          <w:tcPr>
            <w:tcW w:type="dxa" w:w="3389"/>
            <w:shd w:fill="142338"/>
            <w:tcMar>
              <w:top w:w="85" w:type="dxa"/>
              <w:start w:w="90" w:type="dxa"/>
              <w:bottom w:w="85" w:type="dxa"/>
              <w:end w:w="90" w:type="dxa"/>
            </w:tcMar>
            <w:vAlign w:val="center"/>
          </w:tcPr>
          <w:p>
            <w:pPr>
              <w:spacing w:after="0"/>
            </w:pPr>
            <w:r>
              <w:rPr>
                <w:rFonts w:ascii="Aptos" w:hAnsi="Aptos"/>
                <w:b/>
                <w:color w:val="FFFFFF"/>
                <w:sz w:val="14"/>
              </w:rPr>
              <w:t>Owner</w:t>
            </w:r>
          </w:p>
        </w:tc>
        <w:tc>
          <w:tcPr>
            <w:tcW w:type="dxa" w:w="3389"/>
            <w:shd w:fill="142338"/>
            <w:tcMar>
              <w:top w:w="85" w:type="dxa"/>
              <w:start w:w="90" w:type="dxa"/>
              <w:bottom w:w="85" w:type="dxa"/>
              <w:end w:w="90" w:type="dxa"/>
            </w:tcMar>
            <w:vAlign w:val="center"/>
          </w:tcPr>
          <w:p>
            <w:pPr>
              <w:spacing w:after="0"/>
            </w:pPr>
            <w:r>
              <w:rPr>
                <w:rFonts w:ascii="Aptos" w:hAnsi="Aptos"/>
                <w:b/>
                <w:color w:val="FFFFFF"/>
                <w:sz w:val="14"/>
              </w:rPr>
              <w:t>Primary responsibility</w:t>
            </w:r>
          </w:p>
        </w:tc>
        <w:tc>
          <w:tcPr>
            <w:tcW w:type="dxa" w:w="3389"/>
            <w:shd w:fill="142338"/>
            <w:tcMar>
              <w:top w:w="85" w:type="dxa"/>
              <w:start w:w="90" w:type="dxa"/>
              <w:bottom w:w="85" w:type="dxa"/>
              <w:end w:w="90" w:type="dxa"/>
            </w:tcMar>
            <w:vAlign w:val="center"/>
          </w:tcPr>
          <w:p>
            <w:pPr>
              <w:spacing w:after="0"/>
            </w:pPr>
            <w:r>
              <w:rPr>
                <w:rFonts w:ascii="Aptos" w:hAnsi="Aptos"/>
                <w:b/>
                <w:color w:val="FFFFFF"/>
                <w:sz w:val="14"/>
              </w:rPr>
              <w:t>Acceptance artifact</w:t>
            </w:r>
          </w:p>
        </w:tc>
      </w:tr>
      <w:tr>
        <w:tc>
          <w:tcPr>
            <w:tcW w:type="dxa" w:w="1872"/>
            <w:tcMar>
              <w:top w:w="75" w:type="dxa"/>
              <w:start w:w="90" w:type="dxa"/>
              <w:bottom w:w="75" w:type="dxa"/>
              <w:end w:w="90" w:type="dxa"/>
            </w:tcMar>
            <w:vAlign w:val="top"/>
          </w:tcPr>
          <w:p>
            <w:pPr>
              <w:spacing w:after="0" w:line="240" w:lineRule="auto"/>
            </w:pPr>
            <w:r>
              <w:rPr>
                <w:rFonts w:ascii="Aptos" w:hAnsi="Aptos"/>
                <w:color w:val="182638"/>
                <w:sz w:val="14"/>
              </w:rPr>
              <w:t>Data engineer / GIS</w:t>
            </w:r>
          </w:p>
        </w:tc>
        <w:tc>
          <w:tcPr>
            <w:tcW w:type="dxa" w:w="4752"/>
            <w:tcMar>
              <w:top w:w="75" w:type="dxa"/>
              <w:start w:w="90" w:type="dxa"/>
              <w:bottom w:w="75" w:type="dxa"/>
              <w:end w:w="90" w:type="dxa"/>
            </w:tcMar>
            <w:vAlign w:val="top"/>
          </w:tcPr>
          <w:p>
            <w:pPr>
              <w:spacing w:after="0" w:line="240" w:lineRule="auto"/>
            </w:pPr>
            <w:r>
              <w:rPr>
                <w:rFonts w:ascii="Aptos" w:hAnsi="Aptos"/>
                <w:color w:val="182638"/>
                <w:sz w:val="14"/>
              </w:rPr>
              <w:t>Export MCGM layers, validate fields/CRS, clip area, build road graph and exposure joins.</w:t>
            </w:r>
          </w:p>
        </w:tc>
        <w:tc>
          <w:tcPr>
            <w:tcW w:type="dxa" w:w="3456"/>
            <w:tcMar>
              <w:top w:w="75" w:type="dxa"/>
              <w:start w:w="90" w:type="dxa"/>
              <w:bottom w:w="75" w:type="dxa"/>
              <w:end w:w="90" w:type="dxa"/>
            </w:tcMar>
            <w:vAlign w:val="top"/>
          </w:tcPr>
          <w:p>
            <w:pPr>
              <w:spacing w:after="0" w:line="240" w:lineRule="auto"/>
            </w:pPr>
            <w:r>
              <w:rPr>
                <w:rFonts w:ascii="Aptos" w:hAnsi="Aptos"/>
                <w:color w:val="182638"/>
                <w:sz w:val="14"/>
              </w:rPr>
              <w:t>Local GeoJSON/PBF/raster snapshot + source manifest + basic map test.</w:t>
            </w:r>
          </w:p>
        </w:tc>
      </w:tr>
      <w:tr>
        <w:tc>
          <w:tcPr>
            <w:tcW w:type="dxa" w:w="1872"/>
            <w:tcMar>
              <w:top w:w="75" w:type="dxa"/>
              <w:start w:w="90" w:type="dxa"/>
              <w:bottom w:w="75" w:type="dxa"/>
              <w:end w:w="90" w:type="dxa"/>
            </w:tcMar>
            <w:vAlign w:val="top"/>
            <w:shd w:fill="F4F7F9"/>
          </w:tcPr>
          <w:p>
            <w:pPr>
              <w:spacing w:after="0" w:line="240" w:lineRule="auto"/>
            </w:pPr>
            <w:r>
              <w:rPr>
                <w:rFonts w:ascii="Aptos" w:hAnsi="Aptos"/>
                <w:color w:val="182638"/>
                <w:sz w:val="14"/>
              </w:rPr>
              <w:t>Forecast / risk engineer</w:t>
            </w:r>
          </w:p>
        </w:tc>
        <w:tc>
          <w:tcPr>
            <w:tcW w:type="dxa" w:w="4752"/>
            <w:tcMar>
              <w:top w:w="75" w:type="dxa"/>
              <w:start w:w="90" w:type="dxa"/>
              <w:bottom w:w="75" w:type="dxa"/>
              <w:end w:w="90" w:type="dxa"/>
            </w:tcMar>
            <w:vAlign w:val="top"/>
            <w:shd w:fill="F4F7F9"/>
          </w:tcPr>
          <w:p>
            <w:pPr>
              <w:spacing w:after="0" w:line="240" w:lineRule="auto"/>
            </w:pPr>
            <w:r>
              <w:rPr>
                <w:rFonts w:ascii="Aptos" w:hAnsi="Aptos"/>
                <w:color w:val="182638"/>
                <w:sz w:val="14"/>
              </w:rPr>
              <w:t>Load rainfall data, cache 72h forecast, compute rolling accumulations and zone scores; run a chronological baseline if possible.</w:t>
            </w:r>
          </w:p>
        </w:tc>
        <w:tc>
          <w:tcPr>
            <w:tcW w:type="dxa" w:w="3456"/>
            <w:tcMar>
              <w:top w:w="75" w:type="dxa"/>
              <w:start w:w="90" w:type="dxa"/>
              <w:bottom w:w="75" w:type="dxa"/>
              <w:end w:w="90" w:type="dxa"/>
            </w:tcMar>
            <w:vAlign w:val="top"/>
            <w:shd w:fill="F4F7F9"/>
          </w:tcPr>
          <w:p>
            <w:pPr>
              <w:spacing w:after="0" w:line="240" w:lineRule="auto"/>
            </w:pPr>
            <w:r>
              <w:rPr>
                <w:rFonts w:ascii="Aptos" w:hAnsi="Aptos"/>
                <w:color w:val="182638"/>
                <w:sz w:val="14"/>
              </w:rPr>
              <w:t>`risk_by_zone_horizon.json` + metrics notebook/CSV + leakage checklist.</w:t>
            </w:r>
          </w:p>
        </w:tc>
      </w:tr>
      <w:tr>
        <w:tc>
          <w:tcPr>
            <w:tcW w:type="dxa" w:w="1872"/>
            <w:tcMar>
              <w:top w:w="75" w:type="dxa"/>
              <w:start w:w="90" w:type="dxa"/>
              <w:bottom w:w="75" w:type="dxa"/>
              <w:end w:w="90" w:type="dxa"/>
            </w:tcMar>
            <w:vAlign w:val="top"/>
          </w:tcPr>
          <w:p>
            <w:pPr>
              <w:spacing w:after="0" w:line="240" w:lineRule="auto"/>
            </w:pPr>
            <w:r>
              <w:rPr>
                <w:rFonts w:ascii="Aptos" w:hAnsi="Aptos"/>
                <w:color w:val="182638"/>
                <w:sz w:val="14"/>
              </w:rPr>
              <w:t>Graph / impact engineer</w:t>
            </w:r>
          </w:p>
        </w:tc>
        <w:tc>
          <w:tcPr>
            <w:tcW w:type="dxa" w:w="4752"/>
            <w:tcMar>
              <w:top w:w="75" w:type="dxa"/>
              <w:start w:w="90" w:type="dxa"/>
              <w:bottom w:w="75" w:type="dxa"/>
              <w:end w:w="90" w:type="dxa"/>
            </w:tcMar>
            <w:vAlign w:val="top"/>
          </w:tcPr>
          <w:p>
            <w:pPr>
              <w:spacing w:after="0" w:line="240" w:lineRule="auto"/>
            </w:pPr>
            <w:r>
              <w:rPr>
                <w:rFonts w:ascii="Aptos" w:hAnsi="Aptos"/>
                <w:color w:val="182638"/>
                <w:sz w:val="14"/>
              </w:rPr>
              <w:t>Build cascade edges, shortest-path accessibility, resource-placement greedy optimizer, scenario tests.</w:t>
            </w:r>
          </w:p>
        </w:tc>
        <w:tc>
          <w:tcPr>
            <w:tcW w:type="dxa" w:w="3456"/>
            <w:tcMar>
              <w:top w:w="75" w:type="dxa"/>
              <w:start w:w="90" w:type="dxa"/>
              <w:bottom w:w="75" w:type="dxa"/>
              <w:end w:w="90" w:type="dxa"/>
            </w:tcMar>
            <w:vAlign w:val="top"/>
          </w:tcPr>
          <w:p>
            <w:pPr>
              <w:spacing w:after="0" w:line="240" w:lineRule="auto"/>
            </w:pPr>
            <w:r>
              <w:rPr>
                <w:rFonts w:ascii="Aptos" w:hAnsi="Aptos"/>
                <w:color w:val="182638"/>
                <w:sz w:val="14"/>
              </w:rPr>
              <w:t>`scenario_engine` + baseline vs intervention JSON + unit tests.</w:t>
            </w:r>
          </w:p>
        </w:tc>
      </w:tr>
      <w:tr>
        <w:tc>
          <w:tcPr>
            <w:tcW w:type="dxa" w:w="1872"/>
            <w:tcMar>
              <w:top w:w="75" w:type="dxa"/>
              <w:start w:w="90" w:type="dxa"/>
              <w:bottom w:w="75" w:type="dxa"/>
              <w:end w:w="90" w:type="dxa"/>
            </w:tcMar>
            <w:vAlign w:val="top"/>
            <w:shd w:fill="F4F7F9"/>
          </w:tcPr>
          <w:p>
            <w:pPr>
              <w:spacing w:after="0" w:line="240" w:lineRule="auto"/>
            </w:pPr>
            <w:r>
              <w:rPr>
                <w:rFonts w:ascii="Aptos" w:hAnsi="Aptos"/>
                <w:color w:val="182638"/>
                <w:sz w:val="14"/>
              </w:rPr>
              <w:t>Frontend / integration engineer</w:t>
            </w:r>
          </w:p>
        </w:tc>
        <w:tc>
          <w:tcPr>
            <w:tcW w:type="dxa" w:w="4752"/>
            <w:tcMar>
              <w:top w:w="75" w:type="dxa"/>
              <w:start w:w="90" w:type="dxa"/>
              <w:bottom w:w="75" w:type="dxa"/>
              <w:end w:w="90" w:type="dxa"/>
            </w:tcMar>
            <w:vAlign w:val="top"/>
            <w:shd w:fill="F4F7F9"/>
          </w:tcPr>
          <w:p>
            <w:pPr>
              <w:spacing w:after="0" w:line="240" w:lineRule="auto"/>
            </w:pPr>
            <w:r>
              <w:rPr>
                <w:rFonts w:ascii="Aptos" w:hAnsi="Aptos"/>
                <w:color w:val="182638"/>
                <w:sz w:val="14"/>
              </w:rPr>
              <w:t>MapLibre 3D scene, timeline, causal trace panel, uncertainty layer, app packaging and offline test.</w:t>
            </w:r>
          </w:p>
        </w:tc>
        <w:tc>
          <w:tcPr>
            <w:tcW w:type="dxa" w:w="3456"/>
            <w:tcMar>
              <w:top w:w="75" w:type="dxa"/>
              <w:start w:w="90" w:type="dxa"/>
              <w:bottom w:w="75" w:type="dxa"/>
              <w:end w:w="90" w:type="dxa"/>
            </w:tcMar>
            <w:vAlign w:val="top"/>
            <w:shd w:fill="F4F7F9"/>
          </w:tcPr>
          <w:p>
            <w:pPr>
              <w:spacing w:after="0" w:line="240" w:lineRule="auto"/>
            </w:pPr>
            <w:r>
              <w:rPr>
                <w:rFonts w:ascii="Aptos" w:hAnsi="Aptos"/>
                <w:color w:val="182638"/>
                <w:sz w:val="14"/>
              </w:rPr>
              <w:t>One-click local launch; all interactions update from the scenario data.</w:t>
            </w:r>
          </w:p>
        </w:tc>
      </w:tr>
    </w:tbl>
    <w:p>
      <w:pPr>
        <w:spacing w:before="0" w:after="0" w:line="20" w:lineRule="exact"/>
      </w:pPr>
    </w:p>
    <w:p>
      <w:pPr>
        <w:spacing w:before="0" w:after="100" w:line="252" w:lineRule="auto"/>
      </w:pPr>
      <w:r>
        <w:rPr>
          <w:rFonts w:ascii="Aptos" w:hAnsi="Aptos"/>
          <w:i/>
          <w:color w:val="5C6B78"/>
          <w:sz w:val="17"/>
        </w:rPr>
        <w:t>If the team has only three people, merge data engineering with the forecast pipeline, but protect the graph/impact engine and frontend integration from being combined into a single last-minute task.</w:t>
      </w:r>
    </w:p>
    <w:p>
      <w:pPr>
        <w:pStyle w:val="Heading1"/>
        <w:keepNext/>
        <w:pageBreakBefore/>
      </w:pPr>
      <w:r>
        <w:rPr>
          <w:rFonts w:ascii="Aptos" w:hAnsi="Aptos"/>
          <w:b/>
          <w:color w:val="142338"/>
          <w:sz w:val="36"/>
        </w:rPr>
        <w:t>10. Free-tier stack, offline readiness and licensing</w:t>
      </w:r>
    </w:p>
    <w:p>
      <w:pPr>
        <w:pStyle w:val="Heading2"/>
        <w:keepNext/>
      </w:pPr>
      <w:r>
        <w:rPr>
          <w:rFonts w:ascii="Aptos" w:hAnsi="Aptos"/>
          <w:b/>
          <w:color w:val="0F9D91"/>
          <w:sz w:val="26"/>
        </w:rPr>
        <w:t>10.1 Budget-zero stack</w:t>
      </w:r>
    </w:p>
    <w:tbl>
      <w:tblPr>
        <w:tblW w:type="auto" w:w="0"/>
        <w:jc w:val="center"/>
        <w:tblLayout w:type="fixed"/>
        <w:tblLook w:firstColumn="1" w:firstRow="1" w:lastColumn="0" w:lastRow="0" w:noHBand="0" w:noVBand="1" w:val="04A0"/>
      </w:tblPr>
      <w:tblGrid>
        <w:gridCol w:w="1872"/>
        <w:gridCol w:w="3816"/>
        <w:gridCol w:w="4392"/>
      </w:tblGrid>
      <w:tr>
        <w:trPr>
          <w:tblHeader w:val="true"/>
        </w:trPr>
        <w:tc>
          <w:tcPr>
            <w:tcW w:type="dxa" w:w="3389"/>
            <w:shd w:fill="142338"/>
            <w:tcMar>
              <w:top w:w="85" w:type="dxa"/>
              <w:start w:w="90" w:type="dxa"/>
              <w:bottom w:w="85" w:type="dxa"/>
              <w:end w:w="90" w:type="dxa"/>
            </w:tcMar>
            <w:vAlign w:val="center"/>
          </w:tcPr>
          <w:p>
            <w:pPr>
              <w:spacing w:after="0"/>
            </w:pPr>
            <w:r>
              <w:rPr>
                <w:rFonts w:ascii="Aptos" w:hAnsi="Aptos"/>
                <w:b/>
                <w:color w:val="FFFFFF"/>
                <w:sz w:val="15"/>
              </w:rPr>
              <w:t>Need</w:t>
            </w:r>
          </w:p>
        </w:tc>
        <w:tc>
          <w:tcPr>
            <w:tcW w:type="dxa" w:w="3389"/>
            <w:shd w:fill="142338"/>
            <w:tcMar>
              <w:top w:w="85" w:type="dxa"/>
              <w:start w:w="90" w:type="dxa"/>
              <w:bottom w:w="85" w:type="dxa"/>
              <w:end w:w="90" w:type="dxa"/>
            </w:tcMar>
            <w:vAlign w:val="center"/>
          </w:tcPr>
          <w:p>
            <w:pPr>
              <w:spacing w:after="0"/>
            </w:pPr>
            <w:r>
              <w:rPr>
                <w:rFonts w:ascii="Aptos" w:hAnsi="Aptos"/>
                <w:b/>
                <w:color w:val="FFFFFF"/>
                <w:sz w:val="15"/>
              </w:rPr>
              <w:t>Recommended free/open-source option</w:t>
            </w:r>
          </w:p>
        </w:tc>
        <w:tc>
          <w:tcPr>
            <w:tcW w:type="dxa" w:w="3389"/>
            <w:shd w:fill="142338"/>
            <w:tcMar>
              <w:top w:w="85" w:type="dxa"/>
              <w:start w:w="90" w:type="dxa"/>
              <w:bottom w:w="85" w:type="dxa"/>
              <w:end w:w="90" w:type="dxa"/>
            </w:tcMar>
            <w:vAlign w:val="center"/>
          </w:tcPr>
          <w:p>
            <w:pPr>
              <w:spacing w:after="0"/>
            </w:pPr>
            <w:r>
              <w:rPr>
                <w:rFonts w:ascii="Aptos" w:hAnsi="Aptos"/>
                <w:b/>
                <w:color w:val="FFFFFF"/>
                <w:sz w:val="15"/>
              </w:rPr>
              <w:t>Rule</w:t>
            </w:r>
          </w:p>
        </w:tc>
      </w:tr>
      <w:tr>
        <w:tc>
          <w:tcPr>
            <w:tcW w:type="dxa" w:w="1872"/>
            <w:tcMar>
              <w:top w:w="75" w:type="dxa"/>
              <w:start w:w="90" w:type="dxa"/>
              <w:bottom w:w="75" w:type="dxa"/>
              <w:end w:w="90" w:type="dxa"/>
            </w:tcMar>
            <w:vAlign w:val="top"/>
          </w:tcPr>
          <w:p>
            <w:pPr>
              <w:spacing w:after="0" w:line="240" w:lineRule="auto"/>
            </w:pPr>
            <w:r>
              <w:rPr>
                <w:rFonts w:ascii="Aptos" w:hAnsi="Aptos"/>
                <w:color w:val="182638"/>
                <w:sz w:val="15"/>
              </w:rPr>
              <w:t>3D web map</w:t>
            </w:r>
          </w:p>
        </w:tc>
        <w:tc>
          <w:tcPr>
            <w:tcW w:type="dxa" w:w="3816"/>
            <w:tcMar>
              <w:top w:w="75" w:type="dxa"/>
              <w:start w:w="90" w:type="dxa"/>
              <w:bottom w:w="75" w:type="dxa"/>
              <w:end w:w="90" w:type="dxa"/>
            </w:tcMar>
            <w:vAlign w:val="top"/>
          </w:tcPr>
          <w:p>
            <w:pPr>
              <w:spacing w:after="0" w:line="240" w:lineRule="auto"/>
            </w:pPr>
            <w:r>
              <w:rPr>
                <w:rFonts w:ascii="Aptos" w:hAnsi="Aptos"/>
                <w:color w:val="182638"/>
                <w:sz w:val="15"/>
              </w:rPr>
              <w:t>MapLibre GL JS [R23]</w:t>
            </w:r>
          </w:p>
        </w:tc>
        <w:tc>
          <w:tcPr>
            <w:tcW w:type="dxa" w:w="4392"/>
            <w:tcMar>
              <w:top w:w="75" w:type="dxa"/>
              <w:start w:w="90" w:type="dxa"/>
              <w:bottom w:w="75" w:type="dxa"/>
              <w:end w:w="90" w:type="dxa"/>
            </w:tcMar>
            <w:vAlign w:val="top"/>
          </w:tcPr>
          <w:p>
            <w:pPr>
              <w:spacing w:after="0" w:line="240" w:lineRule="auto"/>
            </w:pPr>
            <w:r>
              <w:rPr>
                <w:rFonts w:ascii="Aptos" w:hAnsi="Aptos"/>
                <w:color w:val="182638"/>
                <w:sz w:val="15"/>
              </w:rPr>
              <w:t>Open source; use local data/style. Do not require a paid map API key.</w:t>
            </w:r>
          </w:p>
        </w:tc>
      </w:tr>
      <w:tr>
        <w:tc>
          <w:tcPr>
            <w:tcW w:type="dxa" w:w="1872"/>
            <w:tcMar>
              <w:top w:w="75" w:type="dxa"/>
              <w:start w:w="90" w:type="dxa"/>
              <w:bottom w:w="75" w:type="dxa"/>
              <w:end w:w="90" w:type="dxa"/>
            </w:tcMar>
            <w:vAlign w:val="top"/>
            <w:shd w:fill="F4F7F9"/>
          </w:tcPr>
          <w:p>
            <w:pPr>
              <w:spacing w:after="0" w:line="240" w:lineRule="auto"/>
            </w:pPr>
            <w:r>
              <w:rPr>
                <w:rFonts w:ascii="Aptos" w:hAnsi="Aptos"/>
                <w:color w:val="182638"/>
                <w:sz w:val="15"/>
              </w:rPr>
              <w:t>Offline tiles</w:t>
            </w:r>
          </w:p>
        </w:tc>
        <w:tc>
          <w:tcPr>
            <w:tcW w:type="dxa" w:w="3816"/>
            <w:tcMar>
              <w:top w:w="75" w:type="dxa"/>
              <w:start w:w="90" w:type="dxa"/>
              <w:bottom w:w="75" w:type="dxa"/>
              <w:end w:w="90" w:type="dxa"/>
            </w:tcMar>
            <w:vAlign w:val="top"/>
            <w:shd w:fill="F4F7F9"/>
          </w:tcPr>
          <w:p>
            <w:pPr>
              <w:spacing w:after="0" w:line="240" w:lineRule="auto"/>
            </w:pPr>
            <w:r>
              <w:rPr>
                <w:rFonts w:ascii="Aptos" w:hAnsi="Aptos"/>
                <w:color w:val="182638"/>
                <w:sz w:val="15"/>
              </w:rPr>
              <w:t>Local GeoJSON first; PMTiles if a clipped base map is already prepared [R24]</w:t>
            </w:r>
          </w:p>
        </w:tc>
        <w:tc>
          <w:tcPr>
            <w:tcW w:type="dxa" w:w="4392"/>
            <w:tcMar>
              <w:top w:w="75" w:type="dxa"/>
              <w:start w:w="90" w:type="dxa"/>
              <w:bottom w:w="75" w:type="dxa"/>
              <w:end w:w="90" w:type="dxa"/>
            </w:tcMar>
            <w:vAlign w:val="top"/>
            <w:shd w:fill="F4F7F9"/>
          </w:tcPr>
          <w:p>
            <w:pPr>
              <w:spacing w:after="0" w:line="240" w:lineRule="auto"/>
            </w:pPr>
            <w:r>
              <w:rPr>
                <w:rFonts w:ascii="Aptos" w:hAnsi="Aptos"/>
                <w:color w:val="182638"/>
                <w:sz w:val="15"/>
              </w:rPr>
              <w:t>No remote tiles, glyphs, sprites or geocoder at runtime. Include local attribution.</w:t>
            </w:r>
          </w:p>
        </w:tc>
      </w:tr>
      <w:tr>
        <w:tc>
          <w:tcPr>
            <w:tcW w:type="dxa" w:w="1872"/>
            <w:tcMar>
              <w:top w:w="75" w:type="dxa"/>
              <w:start w:w="90" w:type="dxa"/>
              <w:bottom w:w="75" w:type="dxa"/>
              <w:end w:w="90" w:type="dxa"/>
            </w:tcMar>
            <w:vAlign w:val="top"/>
          </w:tcPr>
          <w:p>
            <w:pPr>
              <w:spacing w:after="0" w:line="240" w:lineRule="auto"/>
            </w:pPr>
            <w:r>
              <w:rPr>
                <w:rFonts w:ascii="Aptos" w:hAnsi="Aptos"/>
                <w:color w:val="182638"/>
                <w:sz w:val="15"/>
              </w:rPr>
              <w:t>Graph &amp; spatial analysis</w:t>
            </w:r>
          </w:p>
        </w:tc>
        <w:tc>
          <w:tcPr>
            <w:tcW w:type="dxa" w:w="3816"/>
            <w:tcMar>
              <w:top w:w="75" w:type="dxa"/>
              <w:start w:w="90" w:type="dxa"/>
              <w:bottom w:w="75" w:type="dxa"/>
              <w:end w:w="90" w:type="dxa"/>
            </w:tcMar>
            <w:vAlign w:val="top"/>
          </w:tcPr>
          <w:p>
            <w:pPr>
              <w:spacing w:after="0" w:line="240" w:lineRule="auto"/>
            </w:pPr>
            <w:r>
              <w:rPr>
                <w:rFonts w:ascii="Aptos" w:hAnsi="Aptos"/>
                <w:color w:val="182638"/>
                <w:sz w:val="15"/>
              </w:rPr>
              <w:t>NetworkX, GeoPandas, Shapely; OSMnx optional [R26, R34]</w:t>
            </w:r>
          </w:p>
        </w:tc>
        <w:tc>
          <w:tcPr>
            <w:tcW w:type="dxa" w:w="4392"/>
            <w:tcMar>
              <w:top w:w="75" w:type="dxa"/>
              <w:start w:w="90" w:type="dxa"/>
              <w:bottom w:w="75" w:type="dxa"/>
              <w:end w:w="90" w:type="dxa"/>
            </w:tcMar>
            <w:vAlign w:val="top"/>
          </w:tcPr>
          <w:p>
            <w:pPr>
              <w:spacing w:after="0" w:line="240" w:lineRule="auto"/>
            </w:pPr>
            <w:r>
              <w:rPr>
                <w:rFonts w:ascii="Aptos" w:hAnsi="Aptos"/>
                <w:color w:val="182638"/>
                <w:sz w:val="15"/>
              </w:rPr>
              <w:t>All run locally. Avoid expensive graph ML or cloud GIS.</w:t>
            </w:r>
          </w:p>
        </w:tc>
      </w:tr>
      <w:tr>
        <w:tc>
          <w:tcPr>
            <w:tcW w:type="dxa" w:w="1872"/>
            <w:tcMar>
              <w:top w:w="75" w:type="dxa"/>
              <w:start w:w="90" w:type="dxa"/>
              <w:bottom w:w="75" w:type="dxa"/>
              <w:end w:w="90" w:type="dxa"/>
            </w:tcMar>
            <w:vAlign w:val="top"/>
            <w:shd w:fill="F4F7F9"/>
          </w:tcPr>
          <w:p>
            <w:pPr>
              <w:spacing w:after="0" w:line="240" w:lineRule="auto"/>
            </w:pPr>
            <w:r>
              <w:rPr>
                <w:rFonts w:ascii="Aptos" w:hAnsi="Aptos"/>
                <w:color w:val="182638"/>
                <w:sz w:val="15"/>
              </w:rPr>
              <w:t>Forecast input</w:t>
            </w:r>
          </w:p>
        </w:tc>
        <w:tc>
          <w:tcPr>
            <w:tcW w:type="dxa" w:w="3816"/>
            <w:tcMar>
              <w:top w:w="75" w:type="dxa"/>
              <w:start w:w="90" w:type="dxa"/>
              <w:bottom w:w="75" w:type="dxa"/>
              <w:end w:w="90" w:type="dxa"/>
            </w:tcMar>
            <w:vAlign w:val="top"/>
            <w:shd w:fill="F4F7F9"/>
          </w:tcPr>
          <w:p>
            <w:pPr>
              <w:spacing w:after="0" w:line="240" w:lineRule="auto"/>
            </w:pPr>
            <w:r>
              <w:rPr>
                <w:rFonts w:ascii="Aptos" w:hAnsi="Aptos"/>
                <w:color w:val="182638"/>
                <w:sz w:val="15"/>
              </w:rPr>
              <w:t>Open-Meteo free non-commercial API [R9-R10]</w:t>
            </w:r>
          </w:p>
        </w:tc>
        <w:tc>
          <w:tcPr>
            <w:tcW w:type="dxa" w:w="4392"/>
            <w:tcMar>
              <w:top w:w="75" w:type="dxa"/>
              <w:start w:w="90" w:type="dxa"/>
              <w:bottom w:w="75" w:type="dxa"/>
              <w:end w:w="90" w:type="dxa"/>
            </w:tcMar>
            <w:vAlign w:val="top"/>
            <w:shd w:fill="F4F7F9"/>
          </w:tcPr>
          <w:p>
            <w:pPr>
              <w:spacing w:after="0" w:line="240" w:lineRule="auto"/>
            </w:pPr>
            <w:r>
              <w:rPr>
                <w:rFonts w:ascii="Aptos" w:hAnsi="Aptos"/>
                <w:color w:val="182638"/>
                <w:sz w:val="15"/>
              </w:rPr>
              <w:t>Cache before demo; CC BY 4.0 credit; stay below documented request limits; no live dependency during offline event.</w:t>
            </w:r>
          </w:p>
        </w:tc>
      </w:tr>
      <w:tr>
        <w:tc>
          <w:tcPr>
            <w:tcW w:type="dxa" w:w="1872"/>
            <w:tcMar>
              <w:top w:w="75" w:type="dxa"/>
              <w:start w:w="90" w:type="dxa"/>
              <w:bottom w:w="75" w:type="dxa"/>
              <w:end w:w="90" w:type="dxa"/>
            </w:tcMar>
            <w:vAlign w:val="top"/>
          </w:tcPr>
          <w:p>
            <w:pPr>
              <w:spacing w:after="0" w:line="240" w:lineRule="auto"/>
            </w:pPr>
            <w:r>
              <w:rPr>
                <w:rFonts w:ascii="Aptos" w:hAnsi="Aptos"/>
                <w:color w:val="182638"/>
                <w:sz w:val="15"/>
              </w:rPr>
              <w:t>Dataset hosting</w:t>
            </w:r>
          </w:p>
        </w:tc>
        <w:tc>
          <w:tcPr>
            <w:tcW w:type="dxa" w:w="3816"/>
            <w:tcMar>
              <w:top w:w="75" w:type="dxa"/>
              <w:start w:w="90" w:type="dxa"/>
              <w:bottom w:w="75" w:type="dxa"/>
              <w:end w:w="90" w:type="dxa"/>
            </w:tcMar>
            <w:vAlign w:val="top"/>
          </w:tcPr>
          <w:p>
            <w:pPr>
              <w:spacing w:after="0" w:line="240" w:lineRule="auto"/>
            </w:pPr>
            <w:r>
              <w:rPr>
                <w:rFonts w:ascii="Aptos" w:hAnsi="Aptos"/>
                <w:color w:val="182638"/>
                <w:sz w:val="15"/>
              </w:rPr>
              <w:t>GitHub repo for code; keep only small clipped derived assets in the repo or release artifact.</w:t>
            </w:r>
          </w:p>
        </w:tc>
        <w:tc>
          <w:tcPr>
            <w:tcW w:type="dxa" w:w="4392"/>
            <w:tcMar>
              <w:top w:w="75" w:type="dxa"/>
              <w:start w:w="90" w:type="dxa"/>
              <w:bottom w:w="75" w:type="dxa"/>
              <w:end w:w="90" w:type="dxa"/>
            </w:tcMar>
            <w:vAlign w:val="top"/>
          </w:tcPr>
          <w:p>
            <w:pPr>
              <w:spacing w:after="0" w:line="240" w:lineRule="auto"/>
            </w:pPr>
            <w:r>
              <w:rPr>
                <w:rFonts w:ascii="Aptos" w:hAnsi="Aptos"/>
                <w:color w:val="182638"/>
                <w:sz w:val="15"/>
              </w:rPr>
              <w:t>Do not commit huge raw files or secrets. Record sources and checksums; license each asset.</w:t>
            </w:r>
          </w:p>
        </w:tc>
      </w:tr>
      <w:tr>
        <w:tc>
          <w:tcPr>
            <w:tcW w:type="dxa" w:w="1872"/>
            <w:tcMar>
              <w:top w:w="75" w:type="dxa"/>
              <w:start w:w="90" w:type="dxa"/>
              <w:bottom w:w="75" w:type="dxa"/>
              <w:end w:w="90" w:type="dxa"/>
            </w:tcMar>
            <w:vAlign w:val="top"/>
            <w:shd w:fill="F4F7F9"/>
          </w:tcPr>
          <w:p>
            <w:pPr>
              <w:spacing w:after="0" w:line="240" w:lineRule="auto"/>
            </w:pPr>
            <w:r>
              <w:rPr>
                <w:rFonts w:ascii="Aptos" w:hAnsi="Aptos"/>
                <w:color w:val="182638"/>
                <w:sz w:val="15"/>
              </w:rPr>
              <w:t>Static preview</w:t>
            </w:r>
          </w:p>
        </w:tc>
        <w:tc>
          <w:tcPr>
            <w:tcW w:type="dxa" w:w="3816"/>
            <w:tcMar>
              <w:top w:w="75" w:type="dxa"/>
              <w:start w:w="90" w:type="dxa"/>
              <w:bottom w:w="75" w:type="dxa"/>
              <w:end w:w="90" w:type="dxa"/>
            </w:tcMar>
            <w:vAlign w:val="top"/>
            <w:shd w:fill="F4F7F9"/>
          </w:tcPr>
          <w:p>
            <w:pPr>
              <w:spacing w:after="0" w:line="240" w:lineRule="auto"/>
            </w:pPr>
            <w:r>
              <w:rPr>
                <w:rFonts w:ascii="Aptos" w:hAnsi="Aptos"/>
                <w:color w:val="182638"/>
                <w:sz w:val="15"/>
              </w:rPr>
              <w:t>Cloudflare Pages or GitHub Pages [R25]</w:t>
            </w:r>
          </w:p>
        </w:tc>
        <w:tc>
          <w:tcPr>
            <w:tcW w:type="dxa" w:w="4392"/>
            <w:tcMar>
              <w:top w:w="75" w:type="dxa"/>
              <w:start w:w="90" w:type="dxa"/>
              <w:bottom w:w="75" w:type="dxa"/>
              <w:end w:w="90" w:type="dxa"/>
            </w:tcMar>
            <w:vAlign w:val="top"/>
            <w:shd w:fill="F4F7F9"/>
          </w:tcPr>
          <w:p>
            <w:pPr>
              <w:spacing w:after="0" w:line="240" w:lineRule="auto"/>
            </w:pPr>
            <w:r>
              <w:rPr>
                <w:rFonts w:ascii="Aptos" w:hAnsi="Aptos"/>
                <w:color w:val="182638"/>
                <w:sz w:val="15"/>
              </w:rPr>
              <w:t>Optional only. Build must still run locally; do not depend on serverless API quotas.</w:t>
            </w:r>
          </w:p>
        </w:tc>
      </w:tr>
      <w:tr>
        <w:tc>
          <w:tcPr>
            <w:tcW w:type="dxa" w:w="1872"/>
            <w:tcMar>
              <w:top w:w="75" w:type="dxa"/>
              <w:start w:w="90" w:type="dxa"/>
              <w:bottom w:w="75" w:type="dxa"/>
              <w:end w:w="90" w:type="dxa"/>
            </w:tcMar>
            <w:vAlign w:val="top"/>
          </w:tcPr>
          <w:p>
            <w:pPr>
              <w:spacing w:after="0" w:line="240" w:lineRule="auto"/>
            </w:pPr>
            <w:r>
              <w:rPr>
                <w:rFonts w:ascii="Aptos" w:hAnsi="Aptos"/>
                <w:color w:val="182638"/>
                <w:sz w:val="15"/>
              </w:rPr>
              <w:t>Persistent storage</w:t>
            </w:r>
          </w:p>
        </w:tc>
        <w:tc>
          <w:tcPr>
            <w:tcW w:type="dxa" w:w="3816"/>
            <w:tcMar>
              <w:top w:w="75" w:type="dxa"/>
              <w:start w:w="90" w:type="dxa"/>
              <w:bottom w:w="75" w:type="dxa"/>
              <w:end w:w="90" w:type="dxa"/>
            </w:tcMar>
            <w:vAlign w:val="top"/>
          </w:tcPr>
          <w:p>
            <w:pPr>
              <w:spacing w:after="0" w:line="240" w:lineRule="auto"/>
            </w:pPr>
            <w:r>
              <w:rPr>
                <w:rFonts w:ascii="Aptos" w:hAnsi="Aptos"/>
                <w:color w:val="182638"/>
                <w:sz w:val="15"/>
              </w:rPr>
              <w:t>No database needed; local JSON snapshots. SQLite optional for local audit history.</w:t>
            </w:r>
          </w:p>
        </w:tc>
        <w:tc>
          <w:tcPr>
            <w:tcW w:type="dxa" w:w="4392"/>
            <w:tcMar>
              <w:top w:w="75" w:type="dxa"/>
              <w:start w:w="90" w:type="dxa"/>
              <w:bottom w:w="75" w:type="dxa"/>
              <w:end w:w="90" w:type="dxa"/>
            </w:tcMar>
            <w:vAlign w:val="top"/>
          </w:tcPr>
          <w:p>
            <w:pPr>
              <w:spacing w:after="0" w:line="240" w:lineRule="auto"/>
            </w:pPr>
            <w:r>
              <w:rPr>
                <w:rFonts w:ascii="Aptos" w:hAnsi="Aptos"/>
                <w:color w:val="182638"/>
                <w:sz w:val="15"/>
              </w:rPr>
              <w:t>Avoid paid hosted PostgreSQL/Supabase unless a real product requirement appears.</w:t>
            </w:r>
          </w:p>
        </w:tc>
      </w:tr>
      <w:tr>
        <w:tc>
          <w:tcPr>
            <w:tcW w:type="dxa" w:w="1872"/>
            <w:tcMar>
              <w:top w:w="75" w:type="dxa"/>
              <w:start w:w="90" w:type="dxa"/>
              <w:bottom w:w="75" w:type="dxa"/>
              <w:end w:w="90" w:type="dxa"/>
            </w:tcMar>
            <w:vAlign w:val="top"/>
            <w:shd w:fill="F4F7F9"/>
          </w:tcPr>
          <w:p>
            <w:pPr>
              <w:spacing w:after="0" w:line="240" w:lineRule="auto"/>
            </w:pPr>
            <w:r>
              <w:rPr>
                <w:rFonts w:ascii="Aptos" w:hAnsi="Aptos"/>
                <w:color w:val="182638"/>
                <w:sz w:val="15"/>
              </w:rPr>
              <w:t>LLM / AI explanation</w:t>
            </w:r>
          </w:p>
        </w:tc>
        <w:tc>
          <w:tcPr>
            <w:tcW w:type="dxa" w:w="3816"/>
            <w:tcMar>
              <w:top w:w="75" w:type="dxa"/>
              <w:start w:w="90" w:type="dxa"/>
              <w:bottom w:w="75" w:type="dxa"/>
              <w:end w:w="90" w:type="dxa"/>
            </w:tcMar>
            <w:vAlign w:val="top"/>
            <w:shd w:fill="F4F7F9"/>
          </w:tcPr>
          <w:p>
            <w:pPr>
              <w:spacing w:after="0" w:line="240" w:lineRule="auto"/>
            </w:pPr>
            <w:r>
              <w:rPr>
                <w:rFonts w:ascii="Aptos" w:hAnsi="Aptos"/>
                <w:color w:val="182638"/>
                <w:sz w:val="15"/>
              </w:rPr>
              <w:t>No external LLM required; use model-generated feature drivers and templated evidence explanations.</w:t>
            </w:r>
          </w:p>
        </w:tc>
        <w:tc>
          <w:tcPr>
            <w:tcW w:type="dxa" w:w="4392"/>
            <w:tcMar>
              <w:top w:w="75" w:type="dxa"/>
              <w:start w:w="90" w:type="dxa"/>
              <w:bottom w:w="75" w:type="dxa"/>
              <w:end w:w="90" w:type="dxa"/>
            </w:tcMar>
            <w:vAlign w:val="top"/>
            <w:shd w:fill="F4F7F9"/>
          </w:tcPr>
          <w:p>
            <w:pPr>
              <w:spacing w:after="0" w:line="240" w:lineRule="auto"/>
            </w:pPr>
            <w:r>
              <w:rPr>
                <w:rFonts w:ascii="Aptos" w:hAnsi="Aptos"/>
                <w:color w:val="182638"/>
                <w:sz w:val="15"/>
              </w:rPr>
              <w:t>No API key, no token spend, no hallucinated causal story. An LLM can be added later only if every claim is grounded to a receipt.</w:t>
            </w:r>
          </w:p>
        </w:tc>
      </w:tr>
    </w:tbl>
    <w:p>
      <w:pPr>
        <w:spacing w:before="0" w:after="0" w:line="20" w:lineRule="exact"/>
      </w:pPr>
    </w:p>
    <w:p>
      <w:pPr>
        <w:pStyle w:val="Heading2"/>
        <w:keepNext/>
      </w:pPr>
      <w:r>
        <w:rPr>
          <w:rFonts w:ascii="Aptos" w:hAnsi="Aptos"/>
          <w:b/>
          <w:color w:val="0F9D91"/>
          <w:sz w:val="26"/>
        </w:rPr>
        <w:t>10.2 Offline acceptance test</w:t>
      </w:r>
    </w:p>
    <w:p>
      <w:pPr>
        <w:keepLines/>
        <w:spacing w:after="60" w:line="245" w:lineRule="auto"/>
        <w:ind w:left="432" w:hanging="346"/>
      </w:pPr>
      <w:r>
        <w:rPr>
          <w:rFonts w:ascii="Aptos" w:hAnsi="Aptos"/>
          <w:b/>
          <w:color w:val="0F9D91"/>
          <w:sz w:val="18"/>
        </w:rPr>
        <w:t xml:space="preserve">1. </w:t>
      </w:r>
      <w:r>
        <w:rPr>
          <w:rFonts w:ascii="Aptos" w:hAnsi="Aptos"/>
          <w:color w:val="182638"/>
          <w:sz w:val="18"/>
        </w:rPr>
        <w:t>Build the app, download/preprocess all datasets and place final scenario snapshots in the local project folder.</w:t>
      </w:r>
    </w:p>
    <w:p>
      <w:pPr>
        <w:keepLines/>
        <w:spacing w:after="60" w:line="245" w:lineRule="auto"/>
        <w:ind w:left="432" w:hanging="346"/>
      </w:pPr>
      <w:r>
        <w:rPr>
          <w:rFonts w:ascii="Aptos" w:hAnsi="Aptos"/>
          <w:b/>
          <w:color w:val="0F9D91"/>
          <w:sz w:val="18"/>
        </w:rPr>
        <w:t xml:space="preserve">2. </w:t>
      </w:r>
      <w:r>
        <w:rPr>
          <w:rFonts w:ascii="Aptos" w:hAnsi="Aptos"/>
          <w:color w:val="182638"/>
          <w:sz w:val="18"/>
        </w:rPr>
        <w:t>Disable Wi-Fi entirely and start the app from localhost. Confirm the map baselayer, map labels/fonts, source data, charts, icons and all layers render.</w:t>
      </w:r>
    </w:p>
    <w:p>
      <w:pPr>
        <w:keepLines/>
        <w:spacing w:after="60" w:line="245" w:lineRule="auto"/>
        <w:ind w:left="432" w:hanging="346"/>
      </w:pPr>
      <w:r>
        <w:rPr>
          <w:rFonts w:ascii="Aptos" w:hAnsi="Aptos"/>
          <w:b/>
          <w:color w:val="0F9D91"/>
          <w:sz w:val="18"/>
        </w:rPr>
        <w:t xml:space="preserve">3. </w:t>
      </w:r>
      <w:r>
        <w:rPr>
          <w:rFonts w:ascii="Aptos" w:hAnsi="Aptos"/>
          <w:color w:val="182638"/>
          <w:sz w:val="18"/>
        </w:rPr>
        <w:t>Change the time slider and intervention controls while offline. Confirm they recalculate using local JSON and do not attempt an external API request.</w:t>
      </w:r>
    </w:p>
    <w:p>
      <w:pPr>
        <w:keepLines/>
        <w:spacing w:after="60" w:line="245" w:lineRule="auto"/>
        <w:ind w:left="432" w:hanging="346"/>
      </w:pPr>
      <w:r>
        <w:rPr>
          <w:rFonts w:ascii="Aptos" w:hAnsi="Aptos"/>
          <w:b/>
          <w:color w:val="0F9D91"/>
          <w:sz w:val="18"/>
        </w:rPr>
        <w:t xml:space="preserve">4. </w:t>
      </w:r>
      <w:r>
        <w:rPr>
          <w:rFonts w:ascii="Aptos" w:hAnsi="Aptos"/>
          <w:color w:val="182638"/>
          <w:sz w:val="18"/>
        </w:rPr>
        <w:t>Run a clean browser session after deleting cache. If the map breaks, some dependency is still remote; replace it with a local asset.</w:t>
      </w:r>
    </w:p>
    <w:p>
      <w:pPr>
        <w:keepLines/>
        <w:spacing w:after="60" w:line="245" w:lineRule="auto"/>
        <w:ind w:left="432" w:hanging="346"/>
      </w:pPr>
      <w:r>
        <w:rPr>
          <w:rFonts w:ascii="Aptos" w:hAnsi="Aptos"/>
          <w:b/>
          <w:color w:val="0F9D91"/>
          <w:sz w:val="18"/>
        </w:rPr>
        <w:t xml:space="preserve">5. </w:t>
      </w:r>
      <w:r>
        <w:rPr>
          <w:rFonts w:ascii="Aptos" w:hAnsi="Aptos"/>
          <w:color w:val="182638"/>
          <w:sz w:val="18"/>
        </w:rPr>
        <w:t>Keep a deterministic “demo replay” scenario button that loads a packaged fixture even if any optional live data connector is unavailable.</w:t>
      </w:r>
    </w:p>
    <w:p>
      <w:pPr>
        <w:pStyle w:val="Heading2"/>
        <w:keepNext/>
      </w:pPr>
      <w:r>
        <w:rPr>
          <w:rFonts w:ascii="Aptos" w:hAnsi="Aptos"/>
          <w:b/>
          <w:color w:val="0F9D91"/>
          <w:sz w:val="26"/>
        </w:rPr>
        <w:t>10.3 Licensing and responsible data handling</w:t>
      </w:r>
    </w:p>
    <w:p>
      <w:pPr>
        <w:pStyle w:val="ListBullet"/>
        <w:spacing w:after="50" w:line="245" w:lineRule="auto"/>
        <w:ind w:left="360" w:hanging="216"/>
      </w:pPr>
      <w:r>
        <w:rPr>
          <w:rFonts w:ascii="Aptos" w:hAnsi="Aptos"/>
          <w:b/>
          <w:color w:val="182638"/>
          <w:sz w:val="18"/>
        </w:rPr>
        <w:t xml:space="preserve">Open-Meteo: </w:t>
      </w:r>
      <w:r>
        <w:rPr>
          <w:rFonts w:ascii="Aptos" w:hAnsi="Aptos"/>
          <w:color w:val="182638"/>
          <w:sz w:val="18"/>
        </w:rPr>
        <w:t>free use is non-commercial and requires CC BY 4.0 attribution. [R10]</w:t>
      </w:r>
    </w:p>
    <w:p>
      <w:pPr>
        <w:pStyle w:val="ListBullet"/>
        <w:spacing w:after="50" w:line="245" w:lineRule="auto"/>
        <w:ind w:left="360" w:hanging="216"/>
      </w:pPr>
      <w:r>
        <w:rPr>
          <w:rFonts w:ascii="Aptos" w:hAnsi="Aptos"/>
          <w:b/>
          <w:color w:val="182638"/>
          <w:sz w:val="18"/>
        </w:rPr>
        <w:t xml:space="preserve">Mumbai rainfall repo: </w:t>
      </w:r>
      <w:r>
        <w:rPr>
          <w:rFonts w:ascii="Aptos" w:hAnsi="Aptos"/>
          <w:color w:val="182638"/>
          <w:sz w:val="18"/>
        </w:rPr>
        <w:t>MIT covers repo code; separately verify rights for the raw data. [R4]</w:t>
      </w:r>
    </w:p>
    <w:p>
      <w:pPr>
        <w:pStyle w:val="ListBullet"/>
        <w:spacing w:after="50" w:line="245" w:lineRule="auto"/>
        <w:ind w:left="360" w:hanging="216"/>
      </w:pPr>
      <w:r>
        <w:rPr>
          <w:rFonts w:ascii="Aptos" w:hAnsi="Aptos"/>
          <w:b/>
          <w:color w:val="182638"/>
          <w:sz w:val="18"/>
        </w:rPr>
        <w:t xml:space="preserve">OpenStreetMap: </w:t>
      </w:r>
      <w:r>
        <w:rPr>
          <w:rFonts w:ascii="Aptos" w:hAnsi="Aptos"/>
          <w:color w:val="182638"/>
          <w:sz w:val="18"/>
        </w:rPr>
        <w:t>include attribution and follow ODbL requirements for distributed data. [R17-R18]</w:t>
      </w:r>
    </w:p>
    <w:p>
      <w:pPr>
        <w:pStyle w:val="ListBullet"/>
        <w:spacing w:after="50" w:line="245" w:lineRule="auto"/>
        <w:ind w:left="360" w:hanging="216"/>
      </w:pPr>
      <w:r>
        <w:rPr>
          <w:rFonts w:ascii="Aptos" w:hAnsi="Aptos"/>
          <w:b/>
          <w:color w:val="182638"/>
          <w:sz w:val="18"/>
        </w:rPr>
        <w:t xml:space="preserve">GHSL / Copernicus: </w:t>
      </w:r>
      <w:r>
        <w:rPr>
          <w:rFonts w:ascii="Aptos" w:hAnsi="Aptos"/>
          <w:color w:val="182638"/>
          <w:sz w:val="18"/>
        </w:rPr>
        <w:t>follow the chosen dataset’s terms and include attribution. [R15-R16]</w:t>
      </w:r>
    </w:p>
    <w:p>
      <w:pPr>
        <w:pStyle w:val="ListBullet"/>
        <w:spacing w:after="50" w:line="245" w:lineRule="auto"/>
        <w:ind w:left="360" w:hanging="216"/>
      </w:pPr>
      <w:r>
        <w:rPr>
          <w:rFonts w:ascii="Aptos" w:hAnsi="Aptos"/>
          <w:b/>
          <w:color w:val="182638"/>
          <w:sz w:val="18"/>
        </w:rPr>
        <w:t xml:space="preserve">MCGM / Bhuvan / NWDP: </w:t>
      </w:r>
      <w:r>
        <w:rPr>
          <w:rFonts w:ascii="Aptos" w:hAnsi="Aptos"/>
          <w:color w:val="182638"/>
          <w:sz w:val="18"/>
        </w:rPr>
        <w:t>check source terms before redistributing; public access does not equal unrestricted reuse.</w:t>
      </w:r>
    </w:p>
    <w:p>
      <w:pPr>
        <w:pStyle w:val="ListBullet"/>
        <w:spacing w:after="50" w:line="245" w:lineRule="auto"/>
        <w:ind w:left="360" w:hanging="216"/>
      </w:pPr>
      <w:r>
        <w:rPr>
          <w:rFonts w:ascii="Aptos" w:hAnsi="Aptos"/>
          <w:b/>
          <w:color w:val="182638"/>
          <w:sz w:val="18"/>
        </w:rPr>
        <w:t xml:space="preserve">Privacy: </w:t>
      </w:r>
      <w:r>
        <w:rPr>
          <w:rFonts w:ascii="Aptos" w:hAnsi="Aptos"/>
          <w:color w:val="182638"/>
          <w:sz w:val="18"/>
        </w:rPr>
        <w:t>use aggregate populations only; store no personal identifiers or individual location histories.</w:t>
      </w:r>
    </w:p>
    <w:p>
      <w:pPr>
        <w:pStyle w:val="ListBullet"/>
        <w:spacing w:after="50" w:line="245" w:lineRule="auto"/>
        <w:ind w:left="360" w:hanging="216"/>
      </w:pPr>
      <w:r>
        <w:rPr>
          <w:rFonts w:ascii="Aptos" w:hAnsi="Aptos"/>
          <w:b/>
          <w:color w:val="182638"/>
          <w:sz w:val="18"/>
        </w:rPr>
        <w:t xml:space="preserve">Safety: </w:t>
      </w:r>
      <w:r>
        <w:rPr>
          <w:rFonts w:ascii="Aptos" w:hAnsi="Aptos"/>
          <w:color w:val="182638"/>
          <w:sz w:val="18"/>
        </w:rPr>
        <w:t>advisory demo only; real alerts or dispatch require validated data and human review.</w:t>
      </w:r>
    </w:p>
    <w:p>
      <w:pPr>
        <w:pStyle w:val="Heading1"/>
        <w:keepNext/>
        <w:pageBreakBefore/>
      </w:pPr>
      <w:r>
        <w:rPr>
          <w:rFonts w:ascii="Aptos" w:hAnsi="Aptos"/>
          <w:b/>
          <w:color w:val="142338"/>
          <w:sz w:val="36"/>
        </w:rPr>
        <w:t>11. Risk register and fallback ladder</w:t>
      </w:r>
    </w:p>
    <w:tbl>
      <w:tblPr>
        <w:tblW w:type="auto" w:w="0"/>
        <w:jc w:val="center"/>
        <w:tblLayout w:type="fixed"/>
        <w:tblLook w:firstColumn="1" w:firstRow="1" w:lastColumn="0" w:lastRow="0" w:noHBand="0" w:noVBand="1" w:val="04A0"/>
      </w:tblPr>
      <w:tblGrid>
        <w:gridCol w:w="2592"/>
        <w:gridCol w:w="1440"/>
        <w:gridCol w:w="6048"/>
      </w:tblGrid>
      <w:tr>
        <w:trPr>
          <w:tblHeader w:val="true"/>
        </w:trPr>
        <w:tc>
          <w:tcPr>
            <w:tcW w:type="dxa" w:w="3389"/>
            <w:shd w:fill="142338"/>
            <w:tcMar>
              <w:top w:w="85" w:type="dxa"/>
              <w:start w:w="90" w:type="dxa"/>
              <w:bottom w:w="85" w:type="dxa"/>
              <w:end w:w="90" w:type="dxa"/>
            </w:tcMar>
            <w:vAlign w:val="center"/>
          </w:tcPr>
          <w:p>
            <w:pPr>
              <w:spacing w:after="0"/>
            </w:pPr>
            <w:r>
              <w:rPr>
                <w:rFonts w:ascii="Aptos" w:hAnsi="Aptos"/>
                <w:b/>
                <w:color w:val="FFFFFF"/>
                <w:sz w:val="14"/>
              </w:rPr>
              <w:t>Risk</w:t>
            </w:r>
          </w:p>
        </w:tc>
        <w:tc>
          <w:tcPr>
            <w:tcW w:type="dxa" w:w="3389"/>
            <w:shd w:fill="142338"/>
            <w:tcMar>
              <w:top w:w="85" w:type="dxa"/>
              <w:start w:w="90" w:type="dxa"/>
              <w:bottom w:w="85" w:type="dxa"/>
              <w:end w:w="90" w:type="dxa"/>
            </w:tcMar>
            <w:vAlign w:val="center"/>
          </w:tcPr>
          <w:p>
            <w:pPr>
              <w:spacing w:after="0"/>
            </w:pPr>
            <w:r>
              <w:rPr>
                <w:rFonts w:ascii="Aptos" w:hAnsi="Aptos"/>
                <w:b/>
                <w:color w:val="FFFFFF"/>
                <w:sz w:val="14"/>
              </w:rPr>
              <w:t>Likelihood / impact</w:t>
            </w:r>
          </w:p>
        </w:tc>
        <w:tc>
          <w:tcPr>
            <w:tcW w:type="dxa" w:w="3389"/>
            <w:shd w:fill="142338"/>
            <w:tcMar>
              <w:top w:w="85" w:type="dxa"/>
              <w:start w:w="90" w:type="dxa"/>
              <w:bottom w:w="85" w:type="dxa"/>
              <w:end w:w="90" w:type="dxa"/>
            </w:tcMar>
            <w:vAlign w:val="center"/>
          </w:tcPr>
          <w:p>
            <w:pPr>
              <w:spacing w:after="0"/>
            </w:pPr>
            <w:r>
              <w:rPr>
                <w:rFonts w:ascii="Aptos" w:hAnsi="Aptos"/>
                <w:b/>
                <w:color w:val="FFFFFF"/>
                <w:sz w:val="14"/>
              </w:rPr>
              <w:t>Mitigation / fallback</w:t>
            </w:r>
          </w:p>
        </w:tc>
      </w:tr>
      <w:tr>
        <w:tc>
          <w:tcPr>
            <w:tcW w:type="dxa" w:w="2592"/>
            <w:tcMar>
              <w:top w:w="75" w:type="dxa"/>
              <w:start w:w="90" w:type="dxa"/>
              <w:bottom w:w="75" w:type="dxa"/>
              <w:end w:w="90" w:type="dxa"/>
            </w:tcMar>
            <w:vAlign w:val="top"/>
          </w:tcPr>
          <w:p>
            <w:pPr>
              <w:spacing w:after="0" w:line="240" w:lineRule="auto"/>
            </w:pPr>
            <w:r>
              <w:rPr>
                <w:rFonts w:ascii="Aptos" w:hAnsi="Aptos"/>
                <w:color w:val="182638"/>
                <w:sz w:val="14"/>
              </w:rPr>
              <w:t>MCGM map service query fails or times out</w:t>
            </w:r>
          </w:p>
        </w:tc>
        <w:tc>
          <w:tcPr>
            <w:tcW w:type="dxa" w:w="1440"/>
            <w:tcMar>
              <w:top w:w="75" w:type="dxa"/>
              <w:start w:w="90" w:type="dxa"/>
              <w:bottom w:w="75" w:type="dxa"/>
              <w:end w:w="90" w:type="dxa"/>
            </w:tcMar>
            <w:vAlign w:val="top"/>
          </w:tcPr>
          <w:p>
            <w:pPr>
              <w:spacing w:after="0" w:line="240" w:lineRule="auto"/>
            </w:pPr>
            <w:r>
              <w:rPr>
                <w:rFonts w:ascii="Aptos" w:hAnsi="Aptos"/>
                <w:color w:val="182638"/>
                <w:sz w:val="14"/>
              </w:rPr>
              <w:t>Medium / very high</w:t>
            </w:r>
          </w:p>
        </w:tc>
        <w:tc>
          <w:tcPr>
            <w:tcW w:type="dxa" w:w="6048"/>
            <w:tcMar>
              <w:top w:w="75" w:type="dxa"/>
              <w:start w:w="90" w:type="dxa"/>
              <w:bottom w:w="75" w:type="dxa"/>
              <w:end w:w="90" w:type="dxa"/>
            </w:tcMar>
            <w:vAlign w:val="top"/>
          </w:tcPr>
          <w:p>
            <w:pPr>
              <w:spacing w:after="0" w:line="240" w:lineRule="auto"/>
            </w:pPr>
            <w:r>
              <w:rPr>
                <w:rFonts w:ascii="Aptos" w:hAnsi="Aptos"/>
                <w:color w:val="182638"/>
                <w:sz w:val="14"/>
              </w:rPr>
              <w:t>First 60-minute proof test. Try WGS MapServer and small-area query; if broken, use OSM for roads/facilities and only use other official flood evidence if its vector/map layer is actually extractable. Reduce AOI.</w:t>
            </w:r>
          </w:p>
        </w:tc>
      </w:tr>
      <w:tr>
        <w:tc>
          <w:tcPr>
            <w:tcW w:type="dxa" w:w="2592"/>
            <w:tcMar>
              <w:top w:w="75" w:type="dxa"/>
              <w:start w:w="90" w:type="dxa"/>
              <w:bottom w:w="75" w:type="dxa"/>
              <w:end w:w="90" w:type="dxa"/>
            </w:tcMar>
            <w:vAlign w:val="top"/>
            <w:shd w:fill="F4F7F9"/>
          </w:tcPr>
          <w:p>
            <w:pPr>
              <w:spacing w:after="0" w:line="240" w:lineRule="auto"/>
            </w:pPr>
            <w:r>
              <w:rPr>
                <w:rFonts w:ascii="Aptos" w:hAnsi="Aptos"/>
                <w:color w:val="182638"/>
                <w:sz w:val="14"/>
              </w:rPr>
              <w:t>Rainfall series download too slow or zip inconsistent</w:t>
            </w:r>
          </w:p>
        </w:tc>
        <w:tc>
          <w:tcPr>
            <w:tcW w:type="dxa" w:w="1440"/>
            <w:tcMar>
              <w:top w:w="75" w:type="dxa"/>
              <w:start w:w="90" w:type="dxa"/>
              <w:bottom w:w="75" w:type="dxa"/>
              <w:end w:w="90" w:type="dxa"/>
            </w:tcMar>
            <w:vAlign w:val="top"/>
            <w:shd w:fill="F4F7F9"/>
          </w:tcPr>
          <w:p>
            <w:pPr>
              <w:spacing w:after="0" w:line="240" w:lineRule="auto"/>
            </w:pPr>
            <w:r>
              <w:rPr>
                <w:rFonts w:ascii="Aptos" w:hAnsi="Aptos"/>
                <w:color w:val="182638"/>
                <w:sz w:val="14"/>
              </w:rPr>
              <w:t>Medium / high</w:t>
            </w:r>
          </w:p>
        </w:tc>
        <w:tc>
          <w:tcPr>
            <w:tcW w:type="dxa" w:w="6048"/>
            <w:tcMar>
              <w:top w:w="75" w:type="dxa"/>
              <w:start w:w="90" w:type="dxa"/>
              <w:bottom w:w="75" w:type="dxa"/>
              <w:end w:w="90" w:type="dxa"/>
            </w:tcMar>
            <w:vAlign w:val="top"/>
            <w:shd w:fill="F4F7F9"/>
          </w:tcPr>
          <w:p>
            <w:pPr>
              <w:spacing w:after="0" w:line="240" w:lineRule="auto"/>
            </w:pPr>
            <w:r>
              <w:rPr>
                <w:rFonts w:ascii="Aptos" w:hAnsi="Aptos"/>
                <w:color w:val="182638"/>
                <w:sz w:val="14"/>
              </w:rPr>
              <w:t>Fetch `final_data.zip` before event; inspect file names and units. Use cached local copy; Open-Meteo historical forecast as alternate for backtesting.</w:t>
            </w:r>
          </w:p>
        </w:tc>
      </w:tr>
      <w:tr>
        <w:tc>
          <w:tcPr>
            <w:tcW w:type="dxa" w:w="2592"/>
            <w:tcMar>
              <w:top w:w="75" w:type="dxa"/>
              <w:start w:w="90" w:type="dxa"/>
              <w:bottom w:w="75" w:type="dxa"/>
              <w:end w:w="90" w:type="dxa"/>
            </w:tcMar>
            <w:vAlign w:val="top"/>
          </w:tcPr>
          <w:p>
            <w:pPr>
              <w:spacing w:after="0" w:line="240" w:lineRule="auto"/>
            </w:pPr>
            <w:r>
              <w:rPr>
                <w:rFonts w:ascii="Aptos" w:hAnsi="Aptos"/>
                <w:color w:val="182638"/>
                <w:sz w:val="14"/>
              </w:rPr>
              <w:t>Maharashtra hourly telemetry lacks Mumbai stations</w:t>
            </w:r>
          </w:p>
        </w:tc>
        <w:tc>
          <w:tcPr>
            <w:tcW w:type="dxa" w:w="1440"/>
            <w:tcMar>
              <w:top w:w="75" w:type="dxa"/>
              <w:start w:w="90" w:type="dxa"/>
              <w:bottom w:w="75" w:type="dxa"/>
              <w:end w:w="90" w:type="dxa"/>
            </w:tcMar>
            <w:vAlign w:val="top"/>
          </w:tcPr>
          <w:p>
            <w:pPr>
              <w:spacing w:after="0" w:line="240" w:lineRule="auto"/>
            </w:pPr>
            <w:r>
              <w:rPr>
                <w:rFonts w:ascii="Aptos" w:hAnsi="Aptos"/>
                <w:color w:val="182638"/>
                <w:sz w:val="14"/>
              </w:rPr>
              <w:t>High / medium</w:t>
            </w:r>
          </w:p>
        </w:tc>
        <w:tc>
          <w:tcPr>
            <w:tcW w:type="dxa" w:w="6048"/>
            <w:tcMar>
              <w:top w:w="75" w:type="dxa"/>
              <w:start w:w="90" w:type="dxa"/>
              <w:bottom w:w="75" w:type="dxa"/>
              <w:end w:w="90" w:type="dxa"/>
            </w:tcMar>
            <w:vAlign w:val="top"/>
          </w:tcPr>
          <w:p>
            <w:pPr>
              <w:spacing w:after="0" w:line="240" w:lineRule="auto"/>
            </w:pPr>
            <w:r>
              <w:rPr>
                <w:rFonts w:ascii="Aptos" w:hAnsi="Aptos"/>
                <w:color w:val="182638"/>
                <w:sz w:val="14"/>
              </w:rPr>
              <w:t>Check station coordinates before using. It is supporting context, not required. Keep city-specific 37-station series as primary local history.</w:t>
            </w:r>
          </w:p>
        </w:tc>
      </w:tr>
      <w:tr>
        <w:tc>
          <w:tcPr>
            <w:tcW w:type="dxa" w:w="2592"/>
            <w:tcMar>
              <w:top w:w="75" w:type="dxa"/>
              <w:start w:w="90" w:type="dxa"/>
              <w:bottom w:w="75" w:type="dxa"/>
              <w:end w:w="90" w:type="dxa"/>
            </w:tcMar>
            <w:vAlign w:val="top"/>
            <w:shd w:fill="F4F7F9"/>
          </w:tcPr>
          <w:p>
            <w:pPr>
              <w:spacing w:after="0" w:line="240" w:lineRule="auto"/>
            </w:pPr>
            <w:r>
              <w:rPr>
                <w:rFonts w:ascii="Aptos" w:hAnsi="Aptos"/>
                <w:color w:val="182638"/>
                <w:sz w:val="14"/>
              </w:rPr>
              <w:t>No event-matched flood polygons for metric evaluation</w:t>
            </w:r>
          </w:p>
        </w:tc>
        <w:tc>
          <w:tcPr>
            <w:tcW w:type="dxa" w:w="1440"/>
            <w:tcMar>
              <w:top w:w="75" w:type="dxa"/>
              <w:start w:w="90" w:type="dxa"/>
              <w:bottom w:w="75" w:type="dxa"/>
              <w:end w:w="90" w:type="dxa"/>
            </w:tcMar>
            <w:vAlign w:val="top"/>
            <w:shd w:fill="F4F7F9"/>
          </w:tcPr>
          <w:p>
            <w:pPr>
              <w:spacing w:after="0" w:line="240" w:lineRule="auto"/>
            </w:pPr>
            <w:r>
              <w:rPr>
                <w:rFonts w:ascii="Aptos" w:hAnsi="Aptos"/>
                <w:color w:val="182638"/>
                <w:sz w:val="14"/>
              </w:rPr>
              <w:t>High / high</w:t>
            </w:r>
          </w:p>
        </w:tc>
        <w:tc>
          <w:tcPr>
            <w:tcW w:type="dxa" w:w="6048"/>
            <w:tcMar>
              <w:top w:w="75" w:type="dxa"/>
              <w:start w:w="90" w:type="dxa"/>
              <w:bottom w:w="75" w:type="dxa"/>
              <w:end w:w="90" w:type="dxa"/>
            </w:tcMar>
            <w:vAlign w:val="top"/>
            <w:shd w:fill="F4F7F9"/>
          </w:tcPr>
          <w:p>
            <w:pPr>
              <w:spacing w:after="0" w:line="240" w:lineRule="auto"/>
            </w:pPr>
            <w:r>
              <w:rPr>
                <w:rFonts w:ascii="Aptos" w:hAnsi="Aptos"/>
                <w:color w:val="182638"/>
                <w:sz w:val="14"/>
              </w:rPr>
              <w:t>Evaluate rainfall prediction and scenario behavior separately; use top-k overlap with hotspots only as plausibility. Do not claim event IoU or flood accuracy without event-matched labels.</w:t>
            </w:r>
          </w:p>
        </w:tc>
      </w:tr>
      <w:tr>
        <w:tc>
          <w:tcPr>
            <w:tcW w:type="dxa" w:w="2592"/>
            <w:tcMar>
              <w:top w:w="75" w:type="dxa"/>
              <w:start w:w="90" w:type="dxa"/>
              <w:bottom w:w="75" w:type="dxa"/>
              <w:end w:w="90" w:type="dxa"/>
            </w:tcMar>
            <w:vAlign w:val="top"/>
          </w:tcPr>
          <w:p>
            <w:pPr>
              <w:spacing w:after="0" w:line="240" w:lineRule="auto"/>
            </w:pPr>
            <w:r>
              <w:rPr>
                <w:rFonts w:ascii="Aptos" w:hAnsi="Aptos"/>
                <w:color w:val="182638"/>
                <w:sz w:val="14"/>
              </w:rPr>
              <w:t>3D map looks good but risk score is arbitrary</w:t>
            </w:r>
          </w:p>
        </w:tc>
        <w:tc>
          <w:tcPr>
            <w:tcW w:type="dxa" w:w="1440"/>
            <w:tcMar>
              <w:top w:w="75" w:type="dxa"/>
              <w:start w:w="90" w:type="dxa"/>
              <w:bottom w:w="75" w:type="dxa"/>
              <w:end w:w="90" w:type="dxa"/>
            </w:tcMar>
            <w:vAlign w:val="top"/>
          </w:tcPr>
          <w:p>
            <w:pPr>
              <w:spacing w:after="0" w:line="240" w:lineRule="auto"/>
            </w:pPr>
            <w:r>
              <w:rPr>
                <w:rFonts w:ascii="Aptos" w:hAnsi="Aptos"/>
                <w:color w:val="182638"/>
                <w:sz w:val="14"/>
              </w:rPr>
              <w:t>Medium / very high</w:t>
            </w:r>
          </w:p>
        </w:tc>
        <w:tc>
          <w:tcPr>
            <w:tcW w:type="dxa" w:w="6048"/>
            <w:tcMar>
              <w:top w:w="75" w:type="dxa"/>
              <w:start w:w="90" w:type="dxa"/>
              <w:bottom w:w="75" w:type="dxa"/>
              <w:end w:w="90" w:type="dxa"/>
            </w:tcMar>
            <w:vAlign w:val="top"/>
          </w:tcPr>
          <w:p>
            <w:pPr>
              <w:spacing w:after="0" w:line="240" w:lineRule="auto"/>
            </w:pPr>
            <w:r>
              <w:rPr>
                <w:rFonts w:ascii="Aptos" w:hAnsi="Aptos"/>
                <w:color w:val="182638"/>
                <w:sz w:val="14"/>
              </w:rPr>
              <w:t>Show feature drivers, weights/config, sensitivity analysis and model labels. Make “relative susceptibility” distinct from calibrated probability.</w:t>
            </w:r>
          </w:p>
        </w:tc>
      </w:tr>
      <w:tr>
        <w:tc>
          <w:tcPr>
            <w:tcW w:type="dxa" w:w="2592"/>
            <w:tcMar>
              <w:top w:w="75" w:type="dxa"/>
              <w:start w:w="90" w:type="dxa"/>
              <w:bottom w:w="75" w:type="dxa"/>
              <w:end w:w="90" w:type="dxa"/>
            </w:tcMar>
            <w:vAlign w:val="top"/>
            <w:shd w:fill="F4F7F9"/>
          </w:tcPr>
          <w:p>
            <w:pPr>
              <w:spacing w:after="0" w:line="240" w:lineRule="auto"/>
            </w:pPr>
            <w:r>
              <w:rPr>
                <w:rFonts w:ascii="Aptos" w:hAnsi="Aptos"/>
                <w:color w:val="182638"/>
                <w:sz w:val="14"/>
              </w:rPr>
              <w:t>Road-speed and closure assumptions dominate outcome</w:t>
            </w:r>
          </w:p>
        </w:tc>
        <w:tc>
          <w:tcPr>
            <w:tcW w:type="dxa" w:w="1440"/>
            <w:tcMar>
              <w:top w:w="75" w:type="dxa"/>
              <w:start w:w="90" w:type="dxa"/>
              <w:bottom w:w="75" w:type="dxa"/>
              <w:end w:w="90" w:type="dxa"/>
            </w:tcMar>
            <w:vAlign w:val="top"/>
            <w:shd w:fill="F4F7F9"/>
          </w:tcPr>
          <w:p>
            <w:pPr>
              <w:spacing w:after="0" w:line="240" w:lineRule="auto"/>
            </w:pPr>
            <w:r>
              <w:rPr>
                <w:rFonts w:ascii="Aptos" w:hAnsi="Aptos"/>
                <w:color w:val="182638"/>
                <w:sz w:val="14"/>
              </w:rPr>
              <w:t>High / high</w:t>
            </w:r>
          </w:p>
        </w:tc>
        <w:tc>
          <w:tcPr>
            <w:tcW w:type="dxa" w:w="6048"/>
            <w:tcMar>
              <w:top w:w="75" w:type="dxa"/>
              <w:start w:w="90" w:type="dxa"/>
              <w:bottom w:w="75" w:type="dxa"/>
              <w:end w:w="90" w:type="dxa"/>
            </w:tcMar>
            <w:vAlign w:val="top"/>
            <w:shd w:fill="F4F7F9"/>
          </w:tcPr>
          <w:p>
            <w:pPr>
              <w:spacing w:after="0" w:line="240" w:lineRule="auto"/>
            </w:pPr>
            <w:r>
              <w:rPr>
                <w:rFonts w:ascii="Aptos" w:hAnsi="Aptos"/>
                <w:color w:val="182638"/>
                <w:sz w:val="14"/>
              </w:rPr>
              <w:t>Show route cost assumptions, scenario threshold and sensitivity; report network-cost/reachability rather than pretending to have real travel-time data.</w:t>
            </w:r>
          </w:p>
        </w:tc>
      </w:tr>
      <w:tr>
        <w:tc>
          <w:tcPr>
            <w:tcW w:type="dxa" w:w="2592"/>
            <w:tcMar>
              <w:top w:w="75" w:type="dxa"/>
              <w:start w:w="90" w:type="dxa"/>
              <w:bottom w:w="75" w:type="dxa"/>
              <w:end w:w="90" w:type="dxa"/>
            </w:tcMar>
            <w:vAlign w:val="top"/>
          </w:tcPr>
          <w:p>
            <w:pPr>
              <w:spacing w:after="0" w:line="240" w:lineRule="auto"/>
            </w:pPr>
            <w:r>
              <w:rPr>
                <w:rFonts w:ascii="Aptos" w:hAnsi="Aptos"/>
                <w:color w:val="182638"/>
                <w:sz w:val="14"/>
              </w:rPr>
              <w:t>No live sensor values, only sensor locations</w:t>
            </w:r>
          </w:p>
        </w:tc>
        <w:tc>
          <w:tcPr>
            <w:tcW w:type="dxa" w:w="1440"/>
            <w:tcMar>
              <w:top w:w="75" w:type="dxa"/>
              <w:start w:w="90" w:type="dxa"/>
              <w:bottom w:w="75" w:type="dxa"/>
              <w:end w:w="90" w:type="dxa"/>
            </w:tcMar>
            <w:vAlign w:val="top"/>
          </w:tcPr>
          <w:p>
            <w:pPr>
              <w:spacing w:after="0" w:line="240" w:lineRule="auto"/>
            </w:pPr>
            <w:r>
              <w:rPr>
                <w:rFonts w:ascii="Aptos" w:hAnsi="Aptos"/>
                <w:color w:val="182638"/>
                <w:sz w:val="14"/>
              </w:rPr>
              <w:t>High / medium</w:t>
            </w:r>
          </w:p>
        </w:tc>
        <w:tc>
          <w:tcPr>
            <w:tcW w:type="dxa" w:w="6048"/>
            <w:tcMar>
              <w:top w:w="75" w:type="dxa"/>
              <w:start w:w="90" w:type="dxa"/>
              <w:bottom w:w="75" w:type="dxa"/>
              <w:end w:w="90" w:type="dxa"/>
            </w:tcMar>
            <w:vAlign w:val="top"/>
          </w:tcPr>
          <w:p>
            <w:pPr>
              <w:spacing w:after="0" w:line="240" w:lineRule="auto"/>
            </w:pPr>
            <w:r>
              <w:rPr>
                <w:rFonts w:ascii="Aptos" w:hAnsi="Aptos"/>
                <w:color w:val="182638"/>
                <w:sz w:val="14"/>
              </w:rPr>
              <w:t>Represent Flow Level Sensor layer as static sensor locations. Use rainfall source availability as the actual dynamic input unless a real reading feed is verified.</w:t>
            </w:r>
          </w:p>
        </w:tc>
      </w:tr>
      <w:tr>
        <w:tc>
          <w:tcPr>
            <w:tcW w:type="dxa" w:w="2592"/>
            <w:tcMar>
              <w:top w:w="75" w:type="dxa"/>
              <w:start w:w="90" w:type="dxa"/>
              <w:bottom w:w="75" w:type="dxa"/>
              <w:end w:w="90" w:type="dxa"/>
            </w:tcMar>
            <w:vAlign w:val="top"/>
            <w:shd w:fill="F4F7F9"/>
          </w:tcPr>
          <w:p>
            <w:pPr>
              <w:spacing w:after="0" w:line="240" w:lineRule="auto"/>
            </w:pPr>
            <w:r>
              <w:rPr>
                <w:rFonts w:ascii="Aptos" w:hAnsi="Aptos"/>
                <w:color w:val="182638"/>
                <w:sz w:val="14"/>
              </w:rPr>
              <w:t>Internet blocked at venue</w:t>
            </w:r>
          </w:p>
        </w:tc>
        <w:tc>
          <w:tcPr>
            <w:tcW w:type="dxa" w:w="1440"/>
            <w:tcMar>
              <w:top w:w="75" w:type="dxa"/>
              <w:start w:w="90" w:type="dxa"/>
              <w:bottom w:w="75" w:type="dxa"/>
              <w:end w:w="90" w:type="dxa"/>
            </w:tcMar>
            <w:vAlign w:val="top"/>
            <w:shd w:fill="F4F7F9"/>
          </w:tcPr>
          <w:p>
            <w:pPr>
              <w:spacing w:after="0" w:line="240" w:lineRule="auto"/>
            </w:pPr>
            <w:r>
              <w:rPr>
                <w:rFonts w:ascii="Aptos" w:hAnsi="Aptos"/>
                <w:color w:val="182638"/>
                <w:sz w:val="14"/>
              </w:rPr>
              <w:t>High / high</w:t>
            </w:r>
          </w:p>
        </w:tc>
        <w:tc>
          <w:tcPr>
            <w:tcW w:type="dxa" w:w="6048"/>
            <w:tcMar>
              <w:top w:w="75" w:type="dxa"/>
              <w:start w:w="90" w:type="dxa"/>
              <w:bottom w:w="75" w:type="dxa"/>
              <w:end w:w="90" w:type="dxa"/>
            </w:tcMar>
            <w:vAlign w:val="top"/>
            <w:shd w:fill="F4F7F9"/>
          </w:tcPr>
          <w:p>
            <w:pPr>
              <w:spacing w:after="0" w:line="240" w:lineRule="auto"/>
            </w:pPr>
            <w:r>
              <w:rPr>
                <w:rFonts w:ascii="Aptos" w:hAnsi="Aptos"/>
                <w:color w:val="182638"/>
                <w:sz w:val="14"/>
              </w:rPr>
              <w:t>Bundle GeoJSON/tiles/assets and forecast snapshot. Test airplane mode. No online geocoder, basemap, font, LLM, or database dependency.</w:t>
            </w:r>
          </w:p>
        </w:tc>
      </w:tr>
      <w:tr>
        <w:tc>
          <w:tcPr>
            <w:tcW w:type="dxa" w:w="2592"/>
            <w:tcMar>
              <w:top w:w="75" w:type="dxa"/>
              <w:start w:w="90" w:type="dxa"/>
              <w:bottom w:w="75" w:type="dxa"/>
              <w:end w:w="90" w:type="dxa"/>
            </w:tcMar>
            <w:vAlign w:val="top"/>
          </w:tcPr>
          <w:p>
            <w:pPr>
              <w:spacing w:after="0" w:line="240" w:lineRule="auto"/>
            </w:pPr>
            <w:r>
              <w:rPr>
                <w:rFonts w:ascii="Aptos" w:hAnsi="Aptos"/>
                <w:color w:val="182638"/>
                <w:sz w:val="14"/>
              </w:rPr>
              <w:t>Too much scope / multiple cascades</w:t>
            </w:r>
          </w:p>
        </w:tc>
        <w:tc>
          <w:tcPr>
            <w:tcW w:type="dxa" w:w="1440"/>
            <w:tcMar>
              <w:top w:w="75" w:type="dxa"/>
              <w:start w:w="90" w:type="dxa"/>
              <w:bottom w:w="75" w:type="dxa"/>
              <w:end w:w="90" w:type="dxa"/>
            </w:tcMar>
            <w:vAlign w:val="top"/>
          </w:tcPr>
          <w:p>
            <w:pPr>
              <w:spacing w:after="0" w:line="240" w:lineRule="auto"/>
            </w:pPr>
            <w:r>
              <w:rPr>
                <w:rFonts w:ascii="Aptos" w:hAnsi="Aptos"/>
                <w:color w:val="182638"/>
                <w:sz w:val="14"/>
              </w:rPr>
              <w:t>High / very high</w:t>
            </w:r>
          </w:p>
        </w:tc>
        <w:tc>
          <w:tcPr>
            <w:tcW w:type="dxa" w:w="6048"/>
            <w:tcMar>
              <w:top w:w="75" w:type="dxa"/>
              <w:start w:w="90" w:type="dxa"/>
              <w:bottom w:w="75" w:type="dxa"/>
              <w:end w:w="90" w:type="dxa"/>
            </w:tcMar>
            <w:vAlign w:val="top"/>
          </w:tcPr>
          <w:p>
            <w:pPr>
              <w:spacing w:after="0" w:line="240" w:lineRule="auto"/>
            </w:pPr>
            <w:r>
              <w:rPr>
                <w:rFonts w:ascii="Aptos" w:hAnsi="Aptos"/>
                <w:color w:val="182638"/>
                <w:sz w:val="14"/>
              </w:rPr>
              <w:t>Build only flood → road access → essential-service reachability. Add power/telecom/hospital capacity only after the full base cascade works and data exists.</w:t>
            </w:r>
          </w:p>
        </w:tc>
      </w:tr>
      <w:tr>
        <w:tc>
          <w:tcPr>
            <w:tcW w:type="dxa" w:w="2592"/>
            <w:tcMar>
              <w:top w:w="75" w:type="dxa"/>
              <w:start w:w="90" w:type="dxa"/>
              <w:bottom w:w="75" w:type="dxa"/>
              <w:end w:w="90" w:type="dxa"/>
            </w:tcMar>
            <w:vAlign w:val="top"/>
            <w:shd w:fill="F4F7F9"/>
          </w:tcPr>
          <w:p>
            <w:pPr>
              <w:spacing w:after="0" w:line="240" w:lineRule="auto"/>
            </w:pPr>
            <w:r>
              <w:rPr>
                <w:rFonts w:ascii="Aptos" w:hAnsi="Aptos"/>
                <w:color w:val="182638"/>
                <w:sz w:val="14"/>
              </w:rPr>
              <w:t>False confidence after source outage</w:t>
            </w:r>
          </w:p>
        </w:tc>
        <w:tc>
          <w:tcPr>
            <w:tcW w:type="dxa" w:w="1440"/>
            <w:tcMar>
              <w:top w:w="75" w:type="dxa"/>
              <w:start w:w="90" w:type="dxa"/>
              <w:bottom w:w="75" w:type="dxa"/>
              <w:end w:w="90" w:type="dxa"/>
            </w:tcMar>
            <w:vAlign w:val="top"/>
            <w:shd w:fill="F4F7F9"/>
          </w:tcPr>
          <w:p>
            <w:pPr>
              <w:spacing w:after="0" w:line="240" w:lineRule="auto"/>
            </w:pPr>
            <w:r>
              <w:rPr>
                <w:rFonts w:ascii="Aptos" w:hAnsi="Aptos"/>
                <w:color w:val="182638"/>
                <w:sz w:val="14"/>
              </w:rPr>
              <w:t>Medium / very high</w:t>
            </w:r>
          </w:p>
        </w:tc>
        <w:tc>
          <w:tcPr>
            <w:tcW w:type="dxa" w:w="6048"/>
            <w:tcMar>
              <w:top w:w="75" w:type="dxa"/>
              <w:start w:w="90" w:type="dxa"/>
              <w:bottom w:w="75" w:type="dxa"/>
              <w:end w:w="90" w:type="dxa"/>
            </w:tcMar>
            <w:vAlign w:val="top"/>
            <w:shd w:fill="F4F7F9"/>
          </w:tcPr>
          <w:p>
            <w:pPr>
              <w:spacing w:after="0" w:line="240" w:lineRule="auto"/>
            </w:pPr>
            <w:r>
              <w:rPr>
                <w:rFonts w:ascii="Aptos" w:hAnsi="Aptos"/>
                <w:color w:val="182638"/>
                <w:sz w:val="14"/>
              </w:rPr>
              <w:t>Separate risk score from confidence; inject correlated-outage tests; show what became unknown/stale.</w:t>
            </w:r>
          </w:p>
        </w:tc>
      </w:tr>
    </w:tbl>
    <w:p>
      <w:pPr>
        <w:spacing w:before="0" w:after="0" w:line="20" w:lineRule="exact"/>
      </w:pPr>
    </w:p>
    <w:p>
      <w:pPr>
        <w:pStyle w:val="Heading2"/>
        <w:keepNext/>
      </w:pPr>
      <w:r>
        <w:rPr>
          <w:rFonts w:ascii="Aptos" w:hAnsi="Aptos"/>
          <w:b/>
          <w:color w:val="0F9D91"/>
          <w:sz w:val="26"/>
        </w:rPr>
        <w:t>Go / no-go gates</w:t>
      </w:r>
    </w:p>
    <w:tbl>
      <w:tblPr>
        <w:tblW w:type="auto" w:w="0"/>
        <w:jc w:val="center"/>
        <w:tblLayout w:type="fixed"/>
        <w:tblLook w:firstColumn="1" w:firstRow="1" w:lastColumn="0" w:lastRow="0" w:noHBand="0" w:noVBand="1" w:val="04A0"/>
      </w:tblPr>
      <w:tblGrid>
        <w:gridCol w:w="9936"/>
      </w:tblGrid>
      <w:tr>
        <w:tc>
          <w:tcPr>
            <w:tcW w:type="dxa" w:w="10166"/>
            <w:shd w:fill="E8F6F4"/>
            <w:tcMar>
              <w:top w:w="140" w:type="dxa"/>
              <w:start w:w="180" w:type="dxa"/>
              <w:bottom w:w="140" w:type="dxa"/>
              <w:end w:w="180" w:type="dxa"/>
            </w:tcMar>
          </w:tcPr>
          <w:p>
            <w:pPr>
              <w:spacing w:after="80"/>
            </w:pPr>
            <w:r>
              <w:rPr>
                <w:rFonts w:ascii="Aptos" w:hAnsi="Aptos"/>
                <w:b/>
                <w:color w:val="0F9D91"/>
                <w:sz w:val="21"/>
              </w:rPr>
              <w:t>GO IF, BY HOUR 4</w:t>
            </w:r>
          </w:p>
          <w:p>
            <w:pPr>
              <w:spacing w:after="0" w:line="252" w:lineRule="auto"/>
            </w:pPr>
            <w:r>
              <w:rPr>
                <w:rFonts w:ascii="Aptos" w:hAnsi="Aptos"/>
                <w:color w:val="182638"/>
                <w:sz w:val="18"/>
              </w:rPr>
              <w:t>Local rainfall data (or cached forecast) loads; at least a useful hotspot layer and road/facility geometry are available; the app can render the AOI offline. If one gate fails, reduce scope to a data-backed sub-area and document the missing source.</w:t>
            </w:r>
          </w:p>
        </w:tc>
      </w:tr>
    </w:tbl>
    <w:p>
      <w:pPr>
        <w:spacing w:after="0"/>
      </w:pPr>
    </w:p>
    <w:tbl>
      <w:tblPr>
        <w:tblW w:type="auto" w:w="0"/>
        <w:jc w:val="center"/>
        <w:tblLayout w:type="fixed"/>
        <w:tblLook w:firstColumn="1" w:firstRow="1" w:lastColumn="0" w:lastRow="0" w:noHBand="0" w:noVBand="1" w:val="04A0"/>
      </w:tblPr>
      <w:tblGrid>
        <w:gridCol w:w="9936"/>
      </w:tblGrid>
      <w:tr>
        <w:tc>
          <w:tcPr>
            <w:tcW w:type="dxa" w:w="10166"/>
            <w:shd w:fill="FCECEF"/>
            <w:tcMar>
              <w:top w:w="140" w:type="dxa"/>
              <w:start w:w="180" w:type="dxa"/>
              <w:bottom w:w="140" w:type="dxa"/>
              <w:end w:w="180" w:type="dxa"/>
            </w:tcMar>
          </w:tcPr>
          <w:p>
            <w:pPr>
              <w:spacing w:after="80"/>
            </w:pPr>
            <w:r>
              <w:rPr>
                <w:rFonts w:ascii="Aptos" w:hAnsi="Aptos"/>
                <w:b/>
                <w:color w:val="D85C70"/>
                <w:sz w:val="21"/>
              </w:rPr>
              <w:t>DO NOT SPEND TIME ON</w:t>
            </w:r>
          </w:p>
          <w:p>
            <w:pPr>
              <w:spacing w:after="0" w:line="252" w:lineRule="auto"/>
            </w:pPr>
            <w:r>
              <w:rPr>
                <w:rFonts w:ascii="Aptos" w:hAnsi="Aptos"/>
                <w:color w:val="182638"/>
                <w:sz w:val="18"/>
              </w:rPr>
              <w:t>A full hydrodynamic solver, custom 3D engine, fine-resolution satellite segmentation, live model retraining, complex multi-agent orchestration, a hosted backend, or a production alert pipeline. They consume time without strengthening the core evidence-backed outcome.</w:t>
            </w:r>
          </w:p>
        </w:tc>
      </w:tr>
    </w:tbl>
    <w:p>
      <w:pPr>
        <w:spacing w:after="0"/>
      </w:pPr>
    </w:p>
    <w:p>
      <w:pPr>
        <w:pStyle w:val="Heading1"/>
        <w:keepNext/>
        <w:pageBreakBefore/>
      </w:pPr>
      <w:r>
        <w:rPr>
          <w:rFonts w:ascii="Aptos" w:hAnsi="Aptos"/>
          <w:b/>
          <w:color w:val="142338"/>
          <w:sz w:val="36"/>
        </w:rPr>
        <w:t>12. Demo narrative, judging pitch and acceptance checklist</w:t>
      </w:r>
    </w:p>
    <w:p>
      <w:pPr>
        <w:pStyle w:val="Heading2"/>
        <w:keepNext/>
      </w:pPr>
      <w:r>
        <w:rPr>
          <w:rFonts w:ascii="Aptos" w:hAnsi="Aptos"/>
          <w:b/>
          <w:color w:val="0F9D91"/>
          <w:sz w:val="26"/>
        </w:rPr>
        <w:t>12.1 Four-minute demo sequence</w:t>
      </w:r>
    </w:p>
    <w:tbl>
      <w:tblPr>
        <w:tblW w:type="auto" w:w="0"/>
        <w:jc w:val="center"/>
        <w:tblLayout w:type="fixed"/>
        <w:tblLook w:firstColumn="1" w:firstRow="1" w:lastColumn="0" w:lastRow="0" w:noHBand="0" w:noVBand="1" w:val="04A0"/>
      </w:tblPr>
      <w:tblGrid>
        <w:gridCol w:w="1152"/>
        <w:gridCol w:w="4608"/>
        <w:gridCol w:w="4320"/>
      </w:tblGrid>
      <w:tr>
        <w:trPr>
          <w:tblHeader w:val="true"/>
        </w:trPr>
        <w:tc>
          <w:tcPr>
            <w:tcW w:type="dxa" w:w="3389"/>
            <w:shd w:fill="142338"/>
            <w:tcMar>
              <w:top w:w="85" w:type="dxa"/>
              <w:start w:w="90" w:type="dxa"/>
              <w:bottom w:w="85" w:type="dxa"/>
              <w:end w:w="90" w:type="dxa"/>
            </w:tcMar>
            <w:vAlign w:val="center"/>
          </w:tcPr>
          <w:p>
            <w:pPr>
              <w:spacing w:after="0"/>
            </w:pPr>
            <w:r>
              <w:rPr>
                <w:rFonts w:ascii="Aptos" w:hAnsi="Aptos"/>
                <w:b/>
                <w:color w:val="FFFFFF"/>
                <w:sz w:val="15"/>
              </w:rPr>
              <w:t>Time</w:t>
            </w:r>
          </w:p>
        </w:tc>
        <w:tc>
          <w:tcPr>
            <w:tcW w:type="dxa" w:w="3389"/>
            <w:shd w:fill="142338"/>
            <w:tcMar>
              <w:top w:w="85" w:type="dxa"/>
              <w:start w:w="90" w:type="dxa"/>
              <w:bottom w:w="85" w:type="dxa"/>
              <w:end w:w="90" w:type="dxa"/>
            </w:tcMar>
            <w:vAlign w:val="center"/>
          </w:tcPr>
          <w:p>
            <w:pPr>
              <w:spacing w:after="0"/>
            </w:pPr>
            <w:r>
              <w:rPr>
                <w:rFonts w:ascii="Aptos" w:hAnsi="Aptos"/>
                <w:b/>
                <w:color w:val="FFFFFF"/>
                <w:sz w:val="15"/>
              </w:rPr>
              <w:t>What to show</w:t>
            </w:r>
          </w:p>
        </w:tc>
        <w:tc>
          <w:tcPr>
            <w:tcW w:type="dxa" w:w="3389"/>
            <w:shd w:fill="142338"/>
            <w:tcMar>
              <w:top w:w="85" w:type="dxa"/>
              <w:start w:w="90" w:type="dxa"/>
              <w:bottom w:w="85" w:type="dxa"/>
              <w:end w:w="90" w:type="dxa"/>
            </w:tcMar>
            <w:vAlign w:val="center"/>
          </w:tcPr>
          <w:p>
            <w:pPr>
              <w:spacing w:after="0"/>
            </w:pPr>
            <w:r>
              <w:rPr>
                <w:rFonts w:ascii="Aptos" w:hAnsi="Aptos"/>
                <w:b/>
                <w:color w:val="FFFFFF"/>
                <w:sz w:val="15"/>
              </w:rPr>
              <w:t>What judges should understand</w:t>
            </w:r>
          </w:p>
        </w:tc>
      </w:tr>
      <w:tr>
        <w:tc>
          <w:tcPr>
            <w:tcW w:type="dxa" w:w="1152"/>
            <w:tcMar>
              <w:top w:w="75" w:type="dxa"/>
              <w:start w:w="90" w:type="dxa"/>
              <w:bottom w:w="75" w:type="dxa"/>
              <w:end w:w="90" w:type="dxa"/>
            </w:tcMar>
            <w:vAlign w:val="top"/>
          </w:tcPr>
          <w:p>
            <w:pPr>
              <w:spacing w:after="0" w:line="240" w:lineRule="auto"/>
            </w:pPr>
            <w:r>
              <w:rPr>
                <w:rFonts w:ascii="Aptos" w:hAnsi="Aptos"/>
                <w:color w:val="182638"/>
                <w:sz w:val="15"/>
              </w:rPr>
              <w:t>0:00–0:30</w:t>
            </w:r>
          </w:p>
        </w:tc>
        <w:tc>
          <w:tcPr>
            <w:tcW w:type="dxa" w:w="4608"/>
            <w:tcMar>
              <w:top w:w="75" w:type="dxa"/>
              <w:start w:w="90" w:type="dxa"/>
              <w:bottom w:w="75" w:type="dxa"/>
              <w:end w:w="90" w:type="dxa"/>
            </w:tcMar>
            <w:vAlign w:val="top"/>
          </w:tcPr>
          <w:p>
            <w:pPr>
              <w:spacing w:after="0" w:line="240" w:lineRule="auto"/>
            </w:pPr>
            <w:r>
              <w:rPr>
                <w:rFonts w:ascii="Aptos" w:hAnsi="Aptos"/>
                <w:color w:val="182638"/>
                <w:sz w:val="15"/>
              </w:rPr>
              <w:t>State the problem: rainfall creates a cascade; the first visible flood is not the full impact.</w:t>
            </w:r>
          </w:p>
        </w:tc>
        <w:tc>
          <w:tcPr>
            <w:tcW w:type="dxa" w:w="4320"/>
            <w:tcMar>
              <w:top w:w="75" w:type="dxa"/>
              <w:start w:w="90" w:type="dxa"/>
              <w:bottom w:w="75" w:type="dxa"/>
              <w:end w:w="90" w:type="dxa"/>
            </w:tcMar>
            <w:vAlign w:val="top"/>
          </w:tcPr>
          <w:p>
            <w:pPr>
              <w:spacing w:after="0" w:line="240" w:lineRule="auto"/>
            </w:pPr>
            <w:r>
              <w:rPr>
                <w:rFonts w:ascii="Aptos" w:hAnsi="Aptos"/>
                <w:color w:val="182638"/>
                <w:sz w:val="15"/>
              </w:rPr>
              <w:t>We forecast consequences and help choose actions, not just classify flood risk.</w:t>
            </w:r>
          </w:p>
        </w:tc>
      </w:tr>
      <w:tr>
        <w:tc>
          <w:tcPr>
            <w:tcW w:type="dxa" w:w="1152"/>
            <w:tcMar>
              <w:top w:w="75" w:type="dxa"/>
              <w:start w:w="90" w:type="dxa"/>
              <w:bottom w:w="75" w:type="dxa"/>
              <w:end w:w="90" w:type="dxa"/>
            </w:tcMar>
            <w:vAlign w:val="top"/>
            <w:shd w:fill="F4F7F9"/>
          </w:tcPr>
          <w:p>
            <w:pPr>
              <w:spacing w:after="0" w:line="240" w:lineRule="auto"/>
            </w:pPr>
            <w:r>
              <w:rPr>
                <w:rFonts w:ascii="Aptos" w:hAnsi="Aptos"/>
                <w:color w:val="182638"/>
                <w:sz w:val="15"/>
              </w:rPr>
              <w:t>0:30–1:00</w:t>
            </w:r>
          </w:p>
        </w:tc>
        <w:tc>
          <w:tcPr>
            <w:tcW w:type="dxa" w:w="4608"/>
            <w:tcMar>
              <w:top w:w="75" w:type="dxa"/>
              <w:start w:w="90" w:type="dxa"/>
              <w:bottom w:w="75" w:type="dxa"/>
              <w:end w:w="90" w:type="dxa"/>
            </w:tcMar>
            <w:vAlign w:val="top"/>
            <w:shd w:fill="F4F7F9"/>
          </w:tcPr>
          <w:p>
            <w:pPr>
              <w:spacing w:after="0" w:line="240" w:lineRule="auto"/>
            </w:pPr>
            <w:r>
              <w:rPr>
                <w:rFonts w:ascii="Aptos" w:hAnsi="Aptos"/>
                <w:color w:val="182638"/>
                <w:sz w:val="15"/>
              </w:rPr>
              <w:t>Open a saved 72h forecast/replay; show sources and the chosen AOI.</w:t>
            </w:r>
          </w:p>
        </w:tc>
        <w:tc>
          <w:tcPr>
            <w:tcW w:type="dxa" w:w="4320"/>
            <w:tcMar>
              <w:top w:w="75" w:type="dxa"/>
              <w:start w:w="90" w:type="dxa"/>
              <w:bottom w:w="75" w:type="dxa"/>
              <w:end w:w="90" w:type="dxa"/>
            </w:tcMar>
            <w:vAlign w:val="top"/>
            <w:shd w:fill="F4F7F9"/>
          </w:tcPr>
          <w:p>
            <w:pPr>
              <w:spacing w:after="0" w:line="240" w:lineRule="auto"/>
            </w:pPr>
            <w:r>
              <w:rPr>
                <w:rFonts w:ascii="Aptos" w:hAnsi="Aptos"/>
                <w:color w:val="182638"/>
                <w:sz w:val="15"/>
              </w:rPr>
              <w:t>Real rainfall/GIS inputs are cached and provenance is visible.</w:t>
            </w:r>
          </w:p>
        </w:tc>
      </w:tr>
      <w:tr>
        <w:tc>
          <w:tcPr>
            <w:tcW w:type="dxa" w:w="1152"/>
            <w:tcMar>
              <w:top w:w="75" w:type="dxa"/>
              <w:start w:w="90" w:type="dxa"/>
              <w:bottom w:w="75" w:type="dxa"/>
              <w:end w:w="90" w:type="dxa"/>
            </w:tcMar>
            <w:vAlign w:val="top"/>
          </w:tcPr>
          <w:p>
            <w:pPr>
              <w:spacing w:after="0" w:line="240" w:lineRule="auto"/>
            </w:pPr>
            <w:r>
              <w:rPr>
                <w:rFonts w:ascii="Aptos" w:hAnsi="Aptos"/>
                <w:color w:val="182638"/>
                <w:sz w:val="15"/>
              </w:rPr>
              <w:t>1:00–1:45</w:t>
            </w:r>
          </w:p>
        </w:tc>
        <w:tc>
          <w:tcPr>
            <w:tcW w:type="dxa" w:w="4608"/>
            <w:tcMar>
              <w:top w:w="75" w:type="dxa"/>
              <w:start w:w="90" w:type="dxa"/>
              <w:bottom w:w="75" w:type="dxa"/>
              <w:end w:w="90" w:type="dxa"/>
            </w:tcMar>
            <w:vAlign w:val="top"/>
          </w:tcPr>
          <w:p>
            <w:pPr>
              <w:spacing w:after="0" w:line="240" w:lineRule="auto"/>
            </w:pPr>
            <w:r>
              <w:rPr>
                <w:rFonts w:ascii="Aptos" w:hAnsi="Aptos"/>
                <w:color w:val="182638"/>
                <w:sz w:val="15"/>
              </w:rPr>
              <w:t>Scrub from 1h to 24h/72h. Flood hotspots and vulnerable road edges change; select one zone.</w:t>
            </w:r>
          </w:p>
        </w:tc>
        <w:tc>
          <w:tcPr>
            <w:tcW w:type="dxa" w:w="4320"/>
            <w:tcMar>
              <w:top w:w="75" w:type="dxa"/>
              <w:start w:w="90" w:type="dxa"/>
              <w:bottom w:w="75" w:type="dxa"/>
              <w:end w:w="90" w:type="dxa"/>
            </w:tcMar>
            <w:vAlign w:val="top"/>
          </w:tcPr>
          <w:p>
            <w:pPr>
              <w:spacing w:after="0" w:line="240" w:lineRule="auto"/>
            </w:pPr>
            <w:r>
              <w:rPr>
                <w:rFonts w:ascii="Aptos" w:hAnsi="Aptos"/>
                <w:color w:val="182638"/>
                <w:sz w:val="15"/>
              </w:rPr>
              <w:t>Risk trajectory is time-dependent; the cascade trace names the reason for each link.</w:t>
            </w:r>
          </w:p>
        </w:tc>
      </w:tr>
      <w:tr>
        <w:tc>
          <w:tcPr>
            <w:tcW w:type="dxa" w:w="1152"/>
            <w:tcMar>
              <w:top w:w="75" w:type="dxa"/>
              <w:start w:w="90" w:type="dxa"/>
              <w:bottom w:w="75" w:type="dxa"/>
              <w:end w:w="90" w:type="dxa"/>
            </w:tcMar>
            <w:vAlign w:val="top"/>
            <w:shd w:fill="F4F7F9"/>
          </w:tcPr>
          <w:p>
            <w:pPr>
              <w:spacing w:after="0" w:line="240" w:lineRule="auto"/>
            </w:pPr>
            <w:r>
              <w:rPr>
                <w:rFonts w:ascii="Aptos" w:hAnsi="Aptos"/>
                <w:color w:val="182638"/>
                <w:sz w:val="15"/>
              </w:rPr>
              <w:t>1:45–2:30</w:t>
            </w:r>
          </w:p>
        </w:tc>
        <w:tc>
          <w:tcPr>
            <w:tcW w:type="dxa" w:w="4608"/>
            <w:tcMar>
              <w:top w:w="75" w:type="dxa"/>
              <w:start w:w="90" w:type="dxa"/>
              <w:bottom w:w="75" w:type="dxa"/>
              <w:end w:w="90" w:type="dxa"/>
            </w:tcMar>
            <w:vAlign w:val="top"/>
            <w:shd w:fill="F4F7F9"/>
          </w:tcPr>
          <w:p>
            <w:pPr>
              <w:spacing w:after="0" w:line="240" w:lineRule="auto"/>
            </w:pPr>
            <w:r>
              <w:rPr>
                <w:rFonts w:ascii="Aptos" w:hAnsi="Aptos"/>
                <w:color w:val="182638"/>
                <w:sz w:val="15"/>
              </w:rPr>
              <w:t>Show how a hospital/shelter becomes less reachable under the scenario; show population-weighted metric.</w:t>
            </w:r>
          </w:p>
        </w:tc>
        <w:tc>
          <w:tcPr>
            <w:tcW w:type="dxa" w:w="4320"/>
            <w:tcMar>
              <w:top w:w="75" w:type="dxa"/>
              <w:start w:w="90" w:type="dxa"/>
              <w:bottom w:w="75" w:type="dxa"/>
              <w:end w:w="90" w:type="dxa"/>
            </w:tcMar>
            <w:vAlign w:val="top"/>
            <w:shd w:fill="F4F7F9"/>
          </w:tcPr>
          <w:p>
            <w:pPr>
              <w:spacing w:after="0" w:line="240" w:lineRule="auto"/>
            </w:pPr>
            <w:r>
              <w:rPr>
                <w:rFonts w:ascii="Aptos" w:hAnsi="Aptos"/>
                <w:color w:val="182638"/>
                <w:sz w:val="15"/>
              </w:rPr>
              <w:t>The impact output is an interpretable network calculation, not an arbitrary heatmap.</w:t>
            </w:r>
          </w:p>
        </w:tc>
      </w:tr>
      <w:tr>
        <w:tc>
          <w:tcPr>
            <w:tcW w:type="dxa" w:w="1152"/>
            <w:tcMar>
              <w:top w:w="75" w:type="dxa"/>
              <w:start w:w="90" w:type="dxa"/>
              <w:bottom w:w="75" w:type="dxa"/>
              <w:end w:w="90" w:type="dxa"/>
            </w:tcMar>
            <w:vAlign w:val="top"/>
          </w:tcPr>
          <w:p>
            <w:pPr>
              <w:spacing w:after="0" w:line="240" w:lineRule="auto"/>
            </w:pPr>
            <w:r>
              <w:rPr>
                <w:rFonts w:ascii="Aptos" w:hAnsi="Aptos"/>
                <w:color w:val="182638"/>
                <w:sz w:val="15"/>
              </w:rPr>
              <w:t>2:30–3:15</w:t>
            </w:r>
          </w:p>
        </w:tc>
        <w:tc>
          <w:tcPr>
            <w:tcW w:type="dxa" w:w="4608"/>
            <w:tcMar>
              <w:top w:w="75" w:type="dxa"/>
              <w:start w:w="90" w:type="dxa"/>
              <w:bottom w:w="75" w:type="dxa"/>
              <w:end w:w="90" w:type="dxa"/>
            </w:tcMar>
            <w:vAlign w:val="top"/>
          </w:tcPr>
          <w:p>
            <w:pPr>
              <w:spacing w:after="0" w:line="240" w:lineRule="auto"/>
            </w:pPr>
            <w:r>
              <w:rPr>
                <w:rFonts w:ascii="Aptos" w:hAnsi="Aptos"/>
                <w:color w:val="182638"/>
                <w:sz w:val="15"/>
              </w:rPr>
              <w:t>Set a fixed budget of two response units; compare baseline against recommended locations.</w:t>
            </w:r>
          </w:p>
        </w:tc>
        <w:tc>
          <w:tcPr>
            <w:tcW w:type="dxa" w:w="4320"/>
            <w:tcMar>
              <w:top w:w="75" w:type="dxa"/>
              <w:start w:w="90" w:type="dxa"/>
              <w:bottom w:w="75" w:type="dxa"/>
              <w:end w:w="90" w:type="dxa"/>
            </w:tcMar>
            <w:vAlign w:val="top"/>
          </w:tcPr>
          <w:p>
            <w:pPr>
              <w:spacing w:after="0" w:line="240" w:lineRule="auto"/>
            </w:pPr>
            <w:r>
              <w:rPr>
                <w:rFonts w:ascii="Aptos" w:hAnsi="Aptos"/>
                <w:color w:val="182638"/>
                <w:sz w:val="15"/>
              </w:rPr>
              <w:t>Counterfactual optimizer improves the stated retained-access metric under the same scenario.</w:t>
            </w:r>
          </w:p>
        </w:tc>
      </w:tr>
      <w:tr>
        <w:tc>
          <w:tcPr>
            <w:tcW w:type="dxa" w:w="1152"/>
            <w:tcMar>
              <w:top w:w="75" w:type="dxa"/>
              <w:start w:w="90" w:type="dxa"/>
              <w:bottom w:w="75" w:type="dxa"/>
              <w:end w:w="90" w:type="dxa"/>
            </w:tcMar>
            <w:vAlign w:val="top"/>
            <w:shd w:fill="F4F7F9"/>
          </w:tcPr>
          <w:p>
            <w:pPr>
              <w:spacing w:after="0" w:line="240" w:lineRule="auto"/>
            </w:pPr>
            <w:r>
              <w:rPr>
                <w:rFonts w:ascii="Aptos" w:hAnsi="Aptos"/>
                <w:color w:val="182638"/>
                <w:sz w:val="15"/>
              </w:rPr>
              <w:t>3:15–3:40</w:t>
            </w:r>
          </w:p>
        </w:tc>
        <w:tc>
          <w:tcPr>
            <w:tcW w:type="dxa" w:w="4608"/>
            <w:tcMar>
              <w:top w:w="75" w:type="dxa"/>
              <w:start w:w="90" w:type="dxa"/>
              <w:bottom w:w="75" w:type="dxa"/>
              <w:end w:w="90" w:type="dxa"/>
            </w:tcMar>
            <w:vAlign w:val="top"/>
            <w:shd w:fill="F4F7F9"/>
          </w:tcPr>
          <w:p>
            <w:pPr>
              <w:spacing w:after="0" w:line="240" w:lineRule="auto"/>
            </w:pPr>
            <w:r>
              <w:rPr>
                <w:rFonts w:ascii="Aptos" w:hAnsi="Aptos"/>
                <w:color w:val="182638"/>
                <w:sz w:val="15"/>
              </w:rPr>
              <w:t>Inject source/gateway failure and conflicting late data.</w:t>
            </w:r>
          </w:p>
        </w:tc>
        <w:tc>
          <w:tcPr>
            <w:tcW w:type="dxa" w:w="4320"/>
            <w:tcMar>
              <w:top w:w="75" w:type="dxa"/>
              <w:start w:w="90" w:type="dxa"/>
              <w:bottom w:w="75" w:type="dxa"/>
              <w:end w:w="90" w:type="dxa"/>
            </w:tcMar>
            <w:vAlign w:val="top"/>
            <w:shd w:fill="F4F7F9"/>
          </w:tcPr>
          <w:p>
            <w:pPr>
              <w:spacing w:after="0" w:line="240" w:lineRule="auto"/>
            </w:pPr>
            <w:r>
              <w:rPr>
                <w:rFonts w:ascii="Aptos" w:hAnsi="Aptos"/>
                <w:color w:val="182638"/>
                <w:sz w:val="15"/>
              </w:rPr>
              <w:t>Confidence degrades and unknowns become visible instead of being silently treated as zero risk.</w:t>
            </w:r>
          </w:p>
        </w:tc>
      </w:tr>
      <w:tr>
        <w:tc>
          <w:tcPr>
            <w:tcW w:type="dxa" w:w="1152"/>
            <w:tcMar>
              <w:top w:w="75" w:type="dxa"/>
              <w:start w:w="90" w:type="dxa"/>
              <w:bottom w:w="75" w:type="dxa"/>
              <w:end w:w="90" w:type="dxa"/>
            </w:tcMar>
            <w:vAlign w:val="top"/>
          </w:tcPr>
          <w:p>
            <w:pPr>
              <w:spacing w:after="0" w:line="240" w:lineRule="auto"/>
            </w:pPr>
            <w:r>
              <w:rPr>
                <w:rFonts w:ascii="Aptos" w:hAnsi="Aptos"/>
                <w:color w:val="182638"/>
                <w:sz w:val="15"/>
              </w:rPr>
              <w:t>3:40–4:00</w:t>
            </w:r>
          </w:p>
        </w:tc>
        <w:tc>
          <w:tcPr>
            <w:tcW w:type="dxa" w:w="4608"/>
            <w:tcMar>
              <w:top w:w="75" w:type="dxa"/>
              <w:start w:w="90" w:type="dxa"/>
              <w:bottom w:w="75" w:type="dxa"/>
              <w:end w:w="90" w:type="dxa"/>
            </w:tcMar>
            <w:vAlign w:val="top"/>
          </w:tcPr>
          <w:p>
            <w:pPr>
              <w:spacing w:after="0" w:line="240" w:lineRule="auto"/>
            </w:pPr>
            <w:r>
              <w:rPr>
                <w:rFonts w:ascii="Aptos" w:hAnsi="Aptos"/>
                <w:color w:val="182638"/>
                <w:sz w:val="15"/>
              </w:rPr>
              <w:t>Show validation results and limitations; explain no fake depth/accuracy claims.</w:t>
            </w:r>
          </w:p>
        </w:tc>
        <w:tc>
          <w:tcPr>
            <w:tcW w:type="dxa" w:w="4320"/>
            <w:tcMar>
              <w:top w:w="75" w:type="dxa"/>
              <w:start w:w="90" w:type="dxa"/>
              <w:bottom w:w="75" w:type="dxa"/>
              <w:end w:w="90" w:type="dxa"/>
            </w:tcMar>
            <w:vAlign w:val="top"/>
          </w:tcPr>
          <w:p>
            <w:pPr>
              <w:spacing w:after="0" w:line="240" w:lineRule="auto"/>
            </w:pPr>
            <w:r>
              <w:rPr>
                <w:rFonts w:ascii="Aptos" w:hAnsi="Aptos"/>
                <w:color w:val="182638"/>
                <w:sz w:val="15"/>
              </w:rPr>
              <w:t>The team understands the difference between measured, forecast and simulated outputs.</w:t>
            </w:r>
          </w:p>
        </w:tc>
      </w:tr>
    </w:tbl>
    <w:p>
      <w:pPr>
        <w:spacing w:before="0" w:after="0" w:line="20" w:lineRule="exact"/>
      </w:pPr>
    </w:p>
    <w:p>
      <w:pPr>
        <w:pStyle w:val="Heading2"/>
        <w:keepNext/>
      </w:pPr>
      <w:r>
        <w:rPr>
          <w:rFonts w:ascii="Aptos" w:hAnsi="Aptos"/>
          <w:b/>
          <w:color w:val="0F9D91"/>
          <w:sz w:val="26"/>
        </w:rPr>
        <w:t>12.2 Thirty-second pitch</w:t>
      </w:r>
    </w:p>
    <w:tbl>
      <w:tblPr>
        <w:tblW w:type="auto" w:w="0"/>
        <w:jc w:val="center"/>
        <w:tblLayout w:type="fixed"/>
        <w:tblLook w:firstColumn="1" w:firstRow="1" w:lastColumn="0" w:lastRow="0" w:noHBand="0" w:noVBand="1" w:val="04A0"/>
      </w:tblPr>
      <w:tblGrid>
        <w:gridCol w:w="9936"/>
      </w:tblGrid>
      <w:tr>
        <w:tc>
          <w:tcPr>
            <w:tcW w:type="dxa" w:w="10166"/>
            <w:shd w:fill="EAF1F8"/>
            <w:tcMar>
              <w:top w:w="140" w:type="dxa"/>
              <w:start w:w="180" w:type="dxa"/>
              <w:bottom w:w="140" w:type="dxa"/>
              <w:end w:w="180" w:type="dxa"/>
            </w:tcMar>
          </w:tcPr>
          <w:p>
            <w:pPr>
              <w:spacing w:after="80"/>
            </w:pPr>
            <w:r>
              <w:rPr>
                <w:rFonts w:ascii="Aptos" w:hAnsi="Aptos"/>
                <w:b/>
                <w:color w:val="4678B8"/>
                <w:sz w:val="21"/>
              </w:rPr>
              <w:t>PITCH</w:t>
            </w:r>
          </w:p>
          <w:p>
            <w:pPr>
              <w:spacing w:after="0" w:line="252" w:lineRule="auto"/>
            </w:pPr>
            <w:r>
              <w:rPr>
                <w:rFonts w:ascii="Aptos" w:hAnsi="Aptos"/>
                <w:color w:val="182638"/>
                <w:sz w:val="18"/>
              </w:rPr>
              <w:t>“Cities do not experience disasters as isolated events. Heavy rain can make known flood hotspots dangerous, disrupt roads and cut vulnerable communities off from emergency services. CASCADEx combines real rainfall forecasts with municipal infrastructure and exposure data, traces a transparent flood-to-access cascade over the next 72 hours, and compares where limited response units should be staged. Each recommendation shows its evidence, assumptions and modeled impact—so responders can act earlier without mistaking uncertainty for certainty.”</w:t>
            </w:r>
          </w:p>
        </w:tc>
      </w:tr>
    </w:tbl>
    <w:p>
      <w:pPr>
        <w:spacing w:after="0"/>
      </w:pPr>
    </w:p>
    <w:p>
      <w:pPr>
        <w:pStyle w:val="Heading2"/>
        <w:keepNext/>
      </w:pPr>
      <w:r>
        <w:rPr>
          <w:rFonts w:ascii="Aptos" w:hAnsi="Aptos"/>
          <w:b/>
          <w:color w:val="0F9D91"/>
          <w:sz w:val="26"/>
        </w:rPr>
        <w:t>12.3 Submission acceptance checklist</w:t>
      </w:r>
    </w:p>
    <w:p>
      <w:pPr>
        <w:spacing w:after="30" w:line="240" w:lineRule="auto"/>
      </w:pPr>
      <w:r>
        <w:rPr>
          <w:rFonts w:ascii="Aptos" w:hAnsi="Aptos"/>
          <w:b/>
          <w:color w:val="0F9D91"/>
          <w:sz w:val="19"/>
        </w:rPr>
        <w:t xml:space="preserve">☐  </w:t>
      </w:r>
      <w:r>
        <w:rPr>
          <w:rFonts w:ascii="Aptos" w:hAnsi="Aptos"/>
          <w:color w:val="182638"/>
          <w:sz w:val="17"/>
        </w:rPr>
        <w:t>PS 2.2’s four risk levels exist per zone and city-wide.</w:t>
      </w:r>
    </w:p>
    <w:p>
      <w:pPr>
        <w:spacing w:after="30" w:line="240" w:lineRule="auto"/>
      </w:pPr>
      <w:r>
        <w:rPr>
          <w:rFonts w:ascii="Aptos" w:hAnsi="Aptos"/>
          <w:b/>
          <w:color w:val="0F9D91"/>
          <w:sz w:val="19"/>
        </w:rPr>
        <w:t xml:space="preserve">☐  </w:t>
      </w:r>
      <w:r>
        <w:rPr>
          <w:rFonts w:ascii="Aptos" w:hAnsi="Aptos"/>
          <w:color w:val="182638"/>
          <w:sz w:val="17"/>
        </w:rPr>
        <w:t>Forecast horizon includes next hour through 72 hours, with output at declared time buckets.</w:t>
      </w:r>
    </w:p>
    <w:p>
      <w:pPr>
        <w:spacing w:after="30" w:line="240" w:lineRule="auto"/>
      </w:pPr>
      <w:r>
        <w:rPr>
          <w:rFonts w:ascii="Aptos" w:hAnsi="Aptos"/>
          <w:b/>
          <w:color w:val="0F9D91"/>
          <w:sz w:val="19"/>
        </w:rPr>
        <w:t xml:space="preserve">☐  </w:t>
      </w:r>
      <w:r>
        <w:rPr>
          <w:rFonts w:ascii="Aptos" w:hAnsi="Aptos"/>
          <w:color w:val="182638"/>
          <w:sz w:val="17"/>
        </w:rPr>
        <w:t>At least one full flood → road → facility/settlement cascade is traceable with source-backed inputs.</w:t>
      </w:r>
    </w:p>
    <w:p>
      <w:pPr>
        <w:spacing w:after="30" w:line="240" w:lineRule="auto"/>
      </w:pPr>
      <w:r>
        <w:rPr>
          <w:rFonts w:ascii="Aptos" w:hAnsi="Aptos"/>
          <w:b/>
          <w:color w:val="0F9D91"/>
          <w:sz w:val="19"/>
        </w:rPr>
        <w:t xml:space="preserve">☐  </w:t>
      </w:r>
      <w:r>
        <w:rPr>
          <w:rFonts w:ascii="Aptos" w:hAnsi="Aptos"/>
          <w:color w:val="182638"/>
          <w:sz w:val="17"/>
        </w:rPr>
        <w:t>Baseline and intervention scenario use the same initial conditions and resource budget.</w:t>
      </w:r>
    </w:p>
    <w:p>
      <w:pPr>
        <w:spacing w:after="30" w:line="240" w:lineRule="auto"/>
      </w:pPr>
      <w:r>
        <w:rPr>
          <w:rFonts w:ascii="Aptos" w:hAnsi="Aptos"/>
          <w:b/>
          <w:color w:val="0F9D91"/>
          <w:sz w:val="19"/>
        </w:rPr>
        <w:t xml:space="preserve">☐  </w:t>
      </w:r>
      <w:r>
        <w:rPr>
          <w:rFonts w:ascii="Aptos" w:hAnsi="Aptos"/>
          <w:color w:val="182638"/>
          <w:sz w:val="17"/>
        </w:rPr>
        <w:t>Impact metric is computed and labelled “modelled”; no unsupported “lives saved” claim.</w:t>
      </w:r>
    </w:p>
    <w:p>
      <w:pPr>
        <w:spacing w:after="30" w:line="240" w:lineRule="auto"/>
      </w:pPr>
      <w:r>
        <w:rPr>
          <w:rFonts w:ascii="Aptos" w:hAnsi="Aptos"/>
          <w:b/>
          <w:color w:val="0F9D91"/>
          <w:sz w:val="19"/>
        </w:rPr>
        <w:t xml:space="preserve">☐  </w:t>
      </w:r>
      <w:r>
        <w:rPr>
          <w:rFonts w:ascii="Aptos" w:hAnsi="Aptos"/>
          <w:color w:val="182638"/>
          <w:sz w:val="17"/>
        </w:rPr>
        <w:t>Missing/late/duplicate/contradictory data test runs and visibly updates confidence.</w:t>
      </w:r>
    </w:p>
    <w:p>
      <w:pPr>
        <w:spacing w:after="30" w:line="240" w:lineRule="auto"/>
      </w:pPr>
      <w:r>
        <w:rPr>
          <w:rFonts w:ascii="Aptos" w:hAnsi="Aptos"/>
          <w:b/>
          <w:color w:val="0F9D91"/>
          <w:sz w:val="19"/>
        </w:rPr>
        <w:t xml:space="preserve">☐  </w:t>
      </w:r>
      <w:r>
        <w:rPr>
          <w:rFonts w:ascii="Aptos" w:hAnsi="Aptos"/>
          <w:color w:val="182638"/>
          <w:sz w:val="17"/>
        </w:rPr>
        <w:t>Historical rainfall test uses a chronological holdout and reports a baseline comparison.</w:t>
      </w:r>
    </w:p>
    <w:p>
      <w:pPr>
        <w:spacing w:after="30" w:line="240" w:lineRule="auto"/>
      </w:pPr>
      <w:r>
        <w:rPr>
          <w:rFonts w:ascii="Aptos" w:hAnsi="Aptos"/>
          <w:b/>
          <w:color w:val="0F9D91"/>
          <w:sz w:val="19"/>
        </w:rPr>
        <w:t xml:space="preserve">☐  </w:t>
      </w:r>
      <w:r>
        <w:rPr>
          <w:rFonts w:ascii="Aptos" w:hAnsi="Aptos"/>
          <w:color w:val="182638"/>
          <w:sz w:val="17"/>
        </w:rPr>
        <w:t>No future information leaks into prediction inputs.</w:t>
      </w:r>
    </w:p>
    <w:p>
      <w:pPr>
        <w:spacing w:after="30" w:line="240" w:lineRule="auto"/>
      </w:pPr>
      <w:r>
        <w:rPr>
          <w:rFonts w:ascii="Aptos" w:hAnsi="Aptos"/>
          <w:b/>
          <w:color w:val="0F9D91"/>
          <w:sz w:val="19"/>
        </w:rPr>
        <w:t xml:space="preserve">☐  </w:t>
      </w:r>
      <w:r>
        <w:rPr>
          <w:rFonts w:ascii="Aptos" w:hAnsi="Aptos"/>
          <w:color w:val="182638"/>
          <w:sz w:val="17"/>
        </w:rPr>
        <w:t>All primary assets, map style, fonts and scenario data load offline; deterministic replay and backup screenshots are ready.</w:t>
      </w:r>
    </w:p>
    <w:p>
      <w:pPr>
        <w:spacing w:after="30" w:line="240" w:lineRule="auto"/>
      </w:pPr>
      <w:r>
        <w:rPr>
          <w:rFonts w:ascii="Aptos" w:hAnsi="Aptos"/>
          <w:b/>
          <w:color w:val="0F9D91"/>
          <w:sz w:val="19"/>
        </w:rPr>
        <w:t xml:space="preserve">☐  </w:t>
      </w:r>
      <w:r>
        <w:rPr>
          <w:rFonts w:ascii="Aptos" w:hAnsi="Aptos"/>
          <w:color w:val="182638"/>
          <w:sz w:val="17"/>
        </w:rPr>
        <w:t>UI shows provenance, data epoch, observation/forecast/scenario label and key limitations.</w:t>
      </w:r>
    </w:p>
    <w:p>
      <w:pPr>
        <w:spacing w:after="30" w:line="240" w:lineRule="auto"/>
      </w:pPr>
      <w:r>
        <w:rPr>
          <w:rFonts w:ascii="Aptos" w:hAnsi="Aptos"/>
          <w:b/>
          <w:color w:val="0F9D91"/>
          <w:sz w:val="19"/>
        </w:rPr>
        <w:t xml:space="preserve">☐  </w:t>
      </w:r>
      <w:r>
        <w:rPr>
          <w:rFonts w:ascii="Aptos" w:hAnsi="Aptos"/>
          <w:color w:val="182638"/>
          <w:sz w:val="17"/>
        </w:rPr>
        <w:t>Repo includes setup steps, source attribution and limitations.</w:t>
      </w:r>
    </w:p>
    <w:p>
      <w:pPr>
        <w:pStyle w:val="Heading1"/>
        <w:keepNext/>
        <w:pageBreakBefore/>
      </w:pPr>
      <w:r>
        <w:rPr>
          <w:rFonts w:ascii="Aptos" w:hAnsi="Aptos"/>
          <w:b/>
          <w:color w:val="142338"/>
          <w:sz w:val="36"/>
        </w:rPr>
        <w:t>Appendix A. Example data contracts and API queries</w:t>
      </w:r>
    </w:p>
    <w:p>
      <w:pPr>
        <w:pStyle w:val="Heading2"/>
        <w:keepNext/>
      </w:pPr>
      <w:r>
        <w:rPr>
          <w:rFonts w:ascii="Aptos" w:hAnsi="Aptos"/>
          <w:b/>
          <w:color w:val="0F9D91"/>
          <w:sz w:val="26"/>
        </w:rPr>
        <w:t>A1. Forecast API snapshot</w:t>
      </w:r>
    </w:p>
    <w:p>
      <w:pPr>
        <w:spacing w:before="0" w:after="100" w:line="252" w:lineRule="auto"/>
      </w:pPr>
      <w:r>
        <w:rPr>
          <w:rFonts w:ascii="Aptos" w:hAnsi="Aptos"/>
          <w:i w:val="0"/>
          <w:sz w:val="17"/>
        </w:rPr>
        <w:t>Example Open-Meteo query for Mumbai; confirm variables against current docs and save the returned JSON with retrieval timestamp and attribution. This is a future-weather forecast, not an urban flood observation. [R9-R10]</w:t>
      </w:r>
    </w:p>
    <w:p>
      <w:pPr>
        <w:spacing w:after="80"/>
        <w:ind w:left="216"/>
        <w:shd w:fill="F1F4F7"/>
        <w:ind w:left="150" w:right="150"/>
      </w:pPr>
      <w:r>
        <w:rPr>
          <w:rFonts w:ascii="Consolas" w:hAnsi="Consolas"/>
          <w:color w:val="182638"/>
          <w:sz w:val="15"/>
        </w:rPr>
        <w:t>https://api.open-meteo.com/v1/forecast?latitude=19.0760&amp;longitude=72.8777&amp;hourly=precipitation,precipitation_probability&amp;forecast_days=3&amp;timezone=Asia%2FKolkata</w:t>
      </w:r>
    </w:p>
    <w:p>
      <w:pPr>
        <w:pStyle w:val="Heading2"/>
        <w:keepNext/>
      </w:pPr>
      <w:r>
        <w:rPr>
          <w:rFonts w:ascii="Aptos" w:hAnsi="Aptos"/>
          <w:b/>
          <w:color w:val="0F9D91"/>
          <w:sz w:val="26"/>
        </w:rPr>
        <w:t>A2. Source manifest (example JSON)</w:t>
      </w:r>
    </w:p>
    <w:p>
      <w:pPr>
        <w:spacing w:after="80"/>
        <w:ind w:left="216"/>
        <w:shd w:fill="F1F4F7"/>
        <w:ind w:left="150" w:right="150"/>
      </w:pPr>
      <w:r>
        <w:rPr>
          <w:rFonts w:ascii="Consolas" w:hAnsi="Consolas"/>
          <w:color w:val="182638"/>
          <w:sz w:val="15"/>
        </w:rPr>
        <w:t>{</w:t>
        <w:br/>
        <w:t xml:space="preserve">  "source_id": "open_meteo_mumbai_forecast_01",</w:t>
        <w:br/>
        <w:t xml:space="preserve">  "provider": "Open-Meteo",</w:t>
        <w:br/>
        <w:t xml:space="preserve">  "retrieved_at": "&lt;ISO-8601 timestamp&gt;",</w:t>
        <w:br/>
        <w:t xml:space="preserve">  "data_kind": "forecast",</w:t>
        <w:br/>
        <w:t xml:space="preserve">  "time_zone": "Asia/Kolkata",</w:t>
        <w:br/>
        <w:t xml:space="preserve">  "valid_time_field": "hourly.time",</w:t>
        <w:br/>
        <w:t xml:space="preserve">  "variables": {"precipitation": "mm per preceding hour"},</w:t>
        <w:br/>
        <w:t xml:space="preserve">  "license_or_terms": "CC BY 4.0; free API is non-commercial under provider terms",</w:t>
        <w:br/>
        <w:t xml:space="preserve">  "snapshot_path": "data/raw/weather/mumbai_forecast.json",</w:t>
        <w:br/>
        <w:t xml:space="preserve">  "status": "cached",</w:t>
        <w:br/>
        <w:t xml:space="preserve">  "limitations": ["weather-model grid is not street-level rain", "not flood depth"]</w:t>
        <w:br/>
        <w:t>}</w:t>
      </w:r>
    </w:p>
    <w:p>
      <w:pPr>
        <w:pStyle w:val="Heading2"/>
        <w:keepNext/>
      </w:pPr>
      <w:r>
        <w:rPr>
          <w:rFonts w:ascii="Aptos" w:hAnsi="Aptos"/>
          <w:b/>
          <w:color w:val="0F9D91"/>
          <w:sz w:val="26"/>
        </w:rPr>
        <w:t>A3. Prediction receipt (example schema)</w:t>
      </w:r>
    </w:p>
    <w:p>
      <w:pPr>
        <w:spacing w:after="80"/>
        <w:ind w:left="216"/>
        <w:shd w:fill="F1F4F7"/>
        <w:ind w:left="150" w:right="150"/>
      </w:pPr>
      <w:r>
        <w:rPr>
          <w:rFonts w:ascii="Consolas" w:hAnsi="Consolas"/>
          <w:color w:val="182638"/>
          <w:sz w:val="14"/>
        </w:rPr>
        <w:t>{</w:t>
        <w:br/>
        <w:t xml:space="preserve">  "run_id": "scenario_&lt;id&gt;",</w:t>
        <w:br/>
        <w:t xml:space="preserve">  "zone_id": "&lt;actual_local_zone_id&gt;",</w:t>
        <w:br/>
        <w:t xml:space="preserve">  "horizon_hours": 24,</w:t>
        <w:br/>
        <w:t xml:space="preserve">  "risk_state": "HIGH_RISK",</w:t>
        <w:br/>
        <w:t xml:space="preserve">  "hazard_score": "&lt;computed 0-1 relative score&gt;",</w:t>
        <w:br/>
        <w:t xml:space="preserve">  "confidence": "MEDIUM",</w:t>
        <w:br/>
        <w:t xml:space="preserve">  "drivers": [</w:t>
        <w:br/>
        <w:t xml:space="preserve">    {"feature": "rainfall_6h", "value": "&lt;number&gt;", "source_id": "&lt;snapshot_id&gt;"},</w:t>
        <w:br/>
        <w:t xml:space="preserve">    {"feature": "flood_spot_proximity", "value": "&lt;derived value&gt;", "source_id": "&lt;MCGM layer id&gt;"}</w:t>
        <w:br/>
        <w:t xml:space="preserve">  ],</w:t>
        <w:br/>
        <w:t xml:space="preserve">  "cascade_path": ["rainfall_zone", "flood_hotspot", "road_edge", "service_access", "settlement_exposure"],</w:t>
        <w:br/>
        <w:t xml:space="preserve">  "assumptions": ["road penalty rule version", "route-cost thresholds"],</w:t>
        <w:br/>
        <w:t xml:space="preserve">  "unknowns": ["no live street-water-depth feed"],</w:t>
        <w:br/>
        <w:t xml:space="preserve">  "input_snapshot_ids": ["&lt;immutable source snapshot IDs&gt;"]</w:t>
        <w:br/>
        <w:t>}</w:t>
      </w:r>
    </w:p>
    <w:p>
      <w:pPr>
        <w:pStyle w:val="Heading2"/>
        <w:keepNext/>
      </w:pPr>
      <w:r>
        <w:rPr>
          <w:rFonts w:ascii="Aptos" w:hAnsi="Aptos"/>
          <w:b/>
          <w:color w:val="0F9D91"/>
          <w:sz w:val="26"/>
        </w:rPr>
        <w:t>A4. Recommended local project structure</w:t>
      </w:r>
    </w:p>
    <w:p>
      <w:pPr>
        <w:spacing w:after="80"/>
        <w:ind w:left="216"/>
        <w:shd w:fill="F1F4F7"/>
        <w:ind w:left="150" w:right="150"/>
      </w:pPr>
      <w:r>
        <w:rPr>
          <w:rFonts w:ascii="Consolas" w:hAnsi="Consolas"/>
          <w:color w:val="182638"/>
          <w:sz w:val="15"/>
        </w:rPr>
        <w:t>cascade-twin/</w:t>
        <w:br/>
        <w:t xml:space="preserve">  README.md · requirements.txt · package.json</w:t>
        <w:br/>
        <w:t xml:space="preserve">  data/raw/ · data/processed/ · data/snapshots/ · source_registry.json</w:t>
        <w:br/>
        <w:t xml:space="preserve">  notebooks/data_audit.ipynb</w:t>
        <w:br/>
        <w:t xml:space="preserve">  scripts/ inspect_mcg_layers.py · preprocess_geo.py</w:t>
        <w:br/>
        <w:t xml:space="preserve">          build_road_graph.py · evaluate_rainfall.py</w:t>
        <w:br/>
        <w:t xml:space="preserve">  engine/ hazard_score.py · cascade_graph.py · accessibility.py</w:t>
        <w:br/>
        <w:t xml:space="preserve">         intervention_optimizer.py · reliability.py · receipts.py</w:t>
        <w:br/>
        <w:t xml:space="preserve">  frontend/src/components/ Map3D.tsx · Timeline.tsx · CascadeTrace.tsx</w:t>
        <w:br/>
        <w:t xml:space="preserve">                            InterventionCompare.tsx</w:t>
        <w:br/>
        <w:t xml:space="preserve">  frontend/src/data/demo_scenario.json</w:t>
        <w:br/>
        <w:t xml:space="preserve">  public/data/ · map-style.json · assets/ (offline-ready)</w:t>
        <w:br/>
        <w:t xml:space="preserve">  tests/ temporal_leakage.py · cascade_paths.py</w:t>
        <w:br/>
        <w:t xml:space="preserve">        missing_sources.py · intervention_delta.py</w:t>
      </w:r>
    </w:p>
    <w:p>
      <w:r>
        <w:br w:type="page"/>
      </w:r>
    </w:p>
    <w:p>
      <w:pPr>
        <w:pStyle w:val="Heading1"/>
        <w:keepNext/>
      </w:pPr>
      <w:r>
        <w:rPr>
          <w:rFonts w:ascii="Aptos" w:hAnsi="Aptos"/>
          <w:b/>
          <w:color w:val="142338"/>
          <w:sz w:val="36"/>
        </w:rPr>
        <w:t>Appendix B. Source register and bibliography</w:t>
      </w:r>
    </w:p>
    <w:p>
      <w:pPr>
        <w:spacing w:before="0" w:after="100" w:line="252" w:lineRule="auto"/>
      </w:pPr>
      <w:r>
        <w:rPr>
          <w:rFonts w:ascii="Aptos" w:hAnsi="Aptos"/>
          <w:i/>
          <w:color w:val="5C6B78"/>
          <w:sz w:val="17"/>
        </w:rPr>
        <w:t>Accessed/reviewed on 25 October 2026 unless the page itself reports a different update date. Availability can change; all sources should be rechecked before the hackathon. “Verified” here means the source page/metadata was inspected, not that every underlying binary or live endpoint was successfully downloaded during this research session.</w:t>
      </w:r>
    </w:p>
    <w:p>
      <w:pPr>
        <w:spacing w:after="60"/>
      </w:pPr>
      <w:r>
        <w:rPr>
          <w:rFonts w:ascii="Aptos" w:hAnsi="Aptos"/>
          <w:b/>
          <w:color w:val="0F9D91"/>
          <w:sz w:val="16"/>
        </w:rPr>
        <w:t xml:space="preserve">[R1] </w:t>
      </w:r>
      <w:r>
        <w:rPr>
          <w:rFonts w:ascii="Aptos" w:hAnsi="Aptos"/>
          <w:b/>
          <w:color w:val="182638"/>
          <w:sz w:val="16"/>
        </w:rPr>
        <w:t>CASCADE ’26 Problem Statements, supplied PDF, Theme 2 / PS 2.2, pp. 7–8</w:t>
      </w:r>
    </w:p>
    <w:p>
      <w:pPr>
        <w:spacing w:after="60" w:line="240" w:lineRule="auto"/>
      </w:pPr>
      <w:r>
        <w:rPr>
          <w:rFonts w:ascii="Aptos" w:hAnsi="Aptos"/>
          <w:b/>
          <w:color w:val="0F9D91"/>
          <w:sz w:val="16"/>
        </w:rPr>
        <w:t xml:space="preserve">[R2] </w:t>
      </w:r>
      <w:r>
        <w:rPr>
          <w:rFonts w:ascii="Aptos" w:hAnsi="Aptos"/>
          <w:b/>
          <w:color w:val="182638"/>
          <w:sz w:val="16"/>
        </w:rPr>
        <w:t xml:space="preserve">MCGM GIS — all layers metadata (Flooding Spots, Flow Level Sensor, Vulnerable Settlements, Hospitals, Shelters, etc.) — </w:t>
      </w:r>
      <w:hyperlink r:id="rId18">
        <w:r>
          <w:rPr>
            <w:color w:val="0F766E"/>
            <w:u w:val="single"/>
            <w:sz w:val="20"/>
          </w:rPr>
          <w:t>https://prsrvgisapp.mcgm.gov.in/server/rest/services/mcgm/MCGMGIS_Departments_Master_All_Layers/MapServer/layers</w:t>
        </w:r>
      </w:hyperlink>
    </w:p>
    <w:p>
      <w:pPr>
        <w:spacing w:after="60" w:line="240" w:lineRule="auto"/>
      </w:pPr>
      <w:r>
        <w:rPr>
          <w:rFonts w:ascii="Aptos" w:hAnsi="Aptos"/>
          <w:b/>
          <w:color w:val="0F9D91"/>
          <w:sz w:val="16"/>
        </w:rPr>
        <w:t xml:space="preserve">[R3] </w:t>
      </w:r>
      <w:r>
        <w:rPr>
          <w:rFonts w:ascii="Aptos" w:hAnsi="Aptos"/>
          <w:b/>
          <w:color w:val="182638"/>
          <w:sz w:val="16"/>
        </w:rPr>
        <w:t xml:space="preserve">MCGM GIS — WGS MapServer / layer inventory — </w:t>
      </w:r>
      <w:hyperlink r:id="rId19">
        <w:r>
          <w:rPr>
            <w:color w:val="0F766E"/>
            <w:u w:val="single"/>
            <w:sz w:val="20"/>
          </w:rPr>
          <w:t>https://prsrvgisapp.mcgm.gov.in/server/rest/services/mcgm/MCGMGIS_Departments_Master_All_Layers_WGS/MapServer</w:t>
        </w:r>
      </w:hyperlink>
    </w:p>
    <w:p>
      <w:pPr>
        <w:spacing w:after="60" w:line="240" w:lineRule="auto"/>
      </w:pPr>
      <w:r>
        <w:rPr>
          <w:rFonts w:ascii="Aptos" w:hAnsi="Aptos"/>
          <w:b/>
          <w:color w:val="0F9D91"/>
          <w:sz w:val="16"/>
        </w:rPr>
        <w:t xml:space="preserve">[R4] </w:t>
      </w:r>
      <w:r>
        <w:rPr>
          <w:rFonts w:ascii="Aptos" w:hAnsi="Aptos"/>
          <w:b/>
          <w:color w:val="182638"/>
          <w:sz w:val="16"/>
        </w:rPr>
        <w:t xml:space="preserve">omkar-nitsure/Mumbai_RainFall_Forecasting — dataset, README, model code and MIT license — </w:t>
      </w:r>
      <w:hyperlink r:id="rId12">
        <w:r>
          <w:rPr>
            <w:color w:val="0F766E"/>
            <w:u w:val="single"/>
            <w:sz w:val="20"/>
          </w:rPr>
          <w:t>https://github.com/omkar-nitsure/Mumbai_RainFall_Forecasting</w:t>
        </w:r>
      </w:hyperlink>
    </w:p>
    <w:p>
      <w:pPr>
        <w:spacing w:after="60" w:line="240" w:lineRule="auto"/>
      </w:pPr>
      <w:r>
        <w:rPr>
          <w:rFonts w:ascii="Aptos" w:hAnsi="Aptos"/>
          <w:b/>
          <w:color w:val="0F9D91"/>
          <w:sz w:val="16"/>
        </w:rPr>
        <w:t xml:space="preserve">[R5] </w:t>
      </w:r>
      <w:r>
        <w:rPr>
          <w:rFonts w:ascii="Aptos" w:hAnsi="Aptos"/>
          <w:b/>
          <w:color w:val="182638"/>
          <w:sz w:val="16"/>
        </w:rPr>
        <w:t xml:space="preserve">National Water Data Portal — CWPRS Maharashtra hourly telemetry rainfall — </w:t>
      </w:r>
      <w:hyperlink r:id="rId20">
        <w:r>
          <w:rPr>
            <w:color w:val="0F766E"/>
            <w:u w:val="single"/>
            <w:sz w:val="20"/>
          </w:rPr>
          <w:t>https://nwdp.nwic.gov.in/dataset/rainfall-telemetry-hourly-cwprs</w:t>
        </w:r>
      </w:hyperlink>
    </w:p>
    <w:p>
      <w:pPr>
        <w:spacing w:after="60" w:line="240" w:lineRule="auto"/>
      </w:pPr>
      <w:r>
        <w:rPr>
          <w:rFonts w:ascii="Aptos" w:hAnsi="Aptos"/>
          <w:b/>
          <w:color w:val="0F9D91"/>
          <w:sz w:val="16"/>
        </w:rPr>
        <w:t xml:space="preserve">[R6] </w:t>
      </w:r>
      <w:r>
        <w:rPr>
          <w:rFonts w:ascii="Aptos" w:hAnsi="Aptos"/>
          <w:b/>
          <w:color w:val="182638"/>
          <w:sz w:val="16"/>
        </w:rPr>
        <w:t xml:space="preserve">National Water Data Portal — Maharashtra Surface Water Department hourly telemetry rainfall — </w:t>
      </w:r>
      <w:hyperlink r:id="rId21">
        <w:r>
          <w:rPr>
            <w:color w:val="0F766E"/>
            <w:u w:val="single"/>
            <w:sz w:val="20"/>
          </w:rPr>
          <w:t>https://nwdp.nwic.gov.in/dataset/rainfall-telemetry-hourly-maharashtra-surface-water-department</w:t>
        </w:r>
      </w:hyperlink>
    </w:p>
    <w:p>
      <w:pPr>
        <w:spacing w:after="60" w:line="240" w:lineRule="auto"/>
      </w:pPr>
      <w:r>
        <w:rPr>
          <w:rFonts w:ascii="Aptos" w:hAnsi="Aptos"/>
          <w:b/>
          <w:color w:val="0F9D91"/>
          <w:sz w:val="16"/>
        </w:rPr>
        <w:t xml:space="preserve">[R7] </w:t>
      </w:r>
      <w:r>
        <w:rPr>
          <w:rFonts w:ascii="Aptos" w:hAnsi="Aptos"/>
          <w:b/>
          <w:color w:val="182638"/>
          <w:sz w:val="16"/>
        </w:rPr>
        <w:t xml:space="preserve">National Water Data Portal — Central Water Commission hourly telemetry rainfall — </w:t>
      </w:r>
      <w:hyperlink r:id="rId22">
        <w:r>
          <w:rPr>
            <w:color w:val="0F766E"/>
            <w:u w:val="single"/>
            <w:sz w:val="20"/>
          </w:rPr>
          <w:t>https://nwdp.nwic.gov.in/en/dataset/rainfall-cwc-telemetry-hourly</w:t>
        </w:r>
      </w:hyperlink>
    </w:p>
    <w:p>
      <w:pPr>
        <w:spacing w:after="60" w:line="240" w:lineRule="auto"/>
      </w:pPr>
      <w:r>
        <w:rPr>
          <w:rFonts w:ascii="Aptos" w:hAnsi="Aptos"/>
          <w:b/>
          <w:color w:val="0F9D91"/>
          <w:sz w:val="16"/>
        </w:rPr>
        <w:t xml:space="preserve">[R8] </w:t>
      </w:r>
      <w:r>
        <w:rPr>
          <w:rFonts w:ascii="Aptos" w:hAnsi="Aptos"/>
          <w:b/>
          <w:color w:val="182638"/>
          <w:sz w:val="16"/>
        </w:rPr>
        <w:t xml:space="preserve">India Meteorological Department — API reference index and field documentation — </w:t>
      </w:r>
      <w:hyperlink r:id="rId23">
        <w:r>
          <w:rPr>
            <w:color w:val="0F766E"/>
            <w:u w:val="single"/>
            <w:sz w:val="20"/>
          </w:rPr>
          <w:t>https://api.imd.gov.in/public/api_reference.html</w:t>
        </w:r>
      </w:hyperlink>
    </w:p>
    <w:p>
      <w:pPr>
        <w:spacing w:after="60" w:line="240" w:lineRule="auto"/>
      </w:pPr>
      <w:r>
        <w:rPr>
          <w:rFonts w:ascii="Aptos" w:hAnsi="Aptos"/>
          <w:b/>
          <w:color w:val="0F9D91"/>
          <w:sz w:val="16"/>
        </w:rPr>
        <w:t xml:space="preserve">[R9] </w:t>
      </w:r>
      <w:r>
        <w:rPr>
          <w:rFonts w:ascii="Aptos" w:hAnsi="Aptos"/>
          <w:b/>
          <w:color w:val="182638"/>
          <w:sz w:val="16"/>
        </w:rPr>
        <w:t xml:space="preserve">Open-Meteo — forecast API documentation — </w:t>
      </w:r>
      <w:hyperlink r:id="rId24">
        <w:r>
          <w:rPr>
            <w:color w:val="0F766E"/>
            <w:u w:val="single"/>
            <w:sz w:val="20"/>
          </w:rPr>
          <w:t>https://open-meteo.com/en/docs</w:t>
        </w:r>
      </w:hyperlink>
    </w:p>
    <w:p>
      <w:pPr>
        <w:spacing w:after="60" w:line="240" w:lineRule="auto"/>
      </w:pPr>
      <w:r>
        <w:rPr>
          <w:rFonts w:ascii="Aptos" w:hAnsi="Aptos"/>
          <w:b/>
          <w:color w:val="0F9D91"/>
          <w:sz w:val="16"/>
        </w:rPr>
        <w:t xml:space="preserve">[R10] </w:t>
      </w:r>
      <w:r>
        <w:rPr>
          <w:rFonts w:ascii="Aptos" w:hAnsi="Aptos"/>
          <w:b/>
          <w:color w:val="182638"/>
          <w:sz w:val="16"/>
        </w:rPr>
        <w:t xml:space="preserve">Open-Meteo — published terms, rate limits and attribution requirements — </w:t>
      </w:r>
      <w:hyperlink r:id="rId25">
        <w:r>
          <w:rPr>
            <w:color w:val="0F766E"/>
            <w:u w:val="single"/>
            <w:sz w:val="20"/>
          </w:rPr>
          <w:t>https://open-meteo.com/en/terms</w:t>
        </w:r>
      </w:hyperlink>
    </w:p>
    <w:p>
      <w:pPr>
        <w:spacing w:after="60" w:line="240" w:lineRule="auto"/>
      </w:pPr>
      <w:r>
        <w:rPr>
          <w:rFonts w:ascii="Aptos" w:hAnsi="Aptos"/>
          <w:b/>
          <w:color w:val="0F9D91"/>
          <w:sz w:val="16"/>
        </w:rPr>
        <w:t xml:space="preserve">[R11] </w:t>
      </w:r>
      <w:r>
        <w:rPr>
          <w:rFonts w:ascii="Aptos" w:hAnsi="Aptos"/>
          <w:b/>
          <w:color w:val="182638"/>
          <w:sz w:val="16"/>
        </w:rPr>
        <w:t xml:space="preserve">Open-Meteo — historical forecast API archive — </w:t>
      </w:r>
      <w:hyperlink r:id="rId26">
        <w:r>
          <w:rPr>
            <w:color w:val="0F766E"/>
            <w:u w:val="single"/>
            <w:sz w:val="20"/>
          </w:rPr>
          <w:t>https://open-meteo.com/en/docs/historical-forecast-api</w:t>
        </w:r>
      </w:hyperlink>
    </w:p>
    <w:p>
      <w:pPr>
        <w:spacing w:after="60" w:line="240" w:lineRule="auto"/>
      </w:pPr>
      <w:r>
        <w:rPr>
          <w:rFonts w:ascii="Aptos" w:hAnsi="Aptos"/>
          <w:b/>
          <w:color w:val="0F9D91"/>
          <w:sz w:val="16"/>
        </w:rPr>
        <w:t xml:space="preserve">[R12] </w:t>
      </w:r>
      <w:r>
        <w:rPr>
          <w:rFonts w:ascii="Aptos" w:hAnsi="Aptos"/>
          <w:b/>
          <w:color w:val="182638"/>
          <w:sz w:val="16"/>
        </w:rPr>
        <w:t xml:space="preserve">Open-Meteo — historical weather API / reanalysis documentation — </w:t>
      </w:r>
      <w:hyperlink r:id="rId27">
        <w:r>
          <w:rPr>
            <w:color w:val="0F766E"/>
            <w:u w:val="single"/>
            <w:sz w:val="20"/>
          </w:rPr>
          <w:t>https://open-meteo.com/en/docs/historical-weather-api</w:t>
        </w:r>
      </w:hyperlink>
    </w:p>
    <w:p>
      <w:pPr>
        <w:spacing w:after="60" w:line="240" w:lineRule="auto"/>
      </w:pPr>
      <w:r>
        <w:rPr>
          <w:rFonts w:ascii="Aptos" w:hAnsi="Aptos"/>
          <w:b/>
          <w:color w:val="0F9D91"/>
          <w:sz w:val="16"/>
        </w:rPr>
        <w:t xml:space="preserve">[R13] </w:t>
      </w:r>
      <w:r>
        <w:rPr>
          <w:rFonts w:ascii="Aptos" w:hAnsi="Aptos"/>
          <w:b/>
          <w:color w:val="182638"/>
          <w:sz w:val="16"/>
        </w:rPr>
        <w:t xml:space="preserve">NRSC/Bhuvan — flood annual and recent inundation portal — </w:t>
      </w:r>
      <w:hyperlink r:id="rId28">
        <w:r>
          <w:rPr>
            <w:color w:val="0F766E"/>
            <w:u w:val="single"/>
            <w:sz w:val="20"/>
          </w:rPr>
          <w:t>https://bhuvan-app1.nrsc.gov.in/disaster/usrtasks/flood/flood.php?uname=empty</w:t>
        </w:r>
      </w:hyperlink>
    </w:p>
    <w:p>
      <w:pPr>
        <w:spacing w:after="60" w:line="240" w:lineRule="auto"/>
      </w:pPr>
      <w:r>
        <w:rPr>
          <w:rFonts w:ascii="Aptos" w:hAnsi="Aptos"/>
          <w:b/>
          <w:color w:val="0F9D91"/>
          <w:sz w:val="16"/>
        </w:rPr>
        <w:t xml:space="preserve">[R14] </w:t>
      </w:r>
      <w:r>
        <w:rPr>
          <w:rFonts w:ascii="Aptos" w:hAnsi="Aptos"/>
          <w:b/>
          <w:color w:val="182638"/>
          <w:sz w:val="16"/>
        </w:rPr>
        <w:t xml:space="preserve">NRSC/Bhuvan — flood hazard zones, 1998–2019 and mapped-coverage disclaimer — </w:t>
      </w:r>
      <w:hyperlink r:id="rId29">
        <w:r>
          <w:rPr>
            <w:color w:val="0F766E"/>
            <w:u w:val="single"/>
            <w:sz w:val="20"/>
          </w:rPr>
          <w:t>https://bhuvan-app1.nrsc.gov.in/disaster/usrtasks/flood_hz/flood_hz.php?uname=empty</w:t>
        </w:r>
      </w:hyperlink>
    </w:p>
    <w:p>
      <w:pPr>
        <w:spacing w:after="60" w:line="240" w:lineRule="auto"/>
      </w:pPr>
      <w:r>
        <w:rPr>
          <w:rFonts w:ascii="Aptos" w:hAnsi="Aptos"/>
          <w:b/>
          <w:color w:val="0F9D91"/>
          <w:sz w:val="16"/>
        </w:rPr>
        <w:t xml:space="preserve">[R15] </w:t>
      </w:r>
      <w:r>
        <w:rPr>
          <w:rFonts w:ascii="Aptos" w:hAnsi="Aptos"/>
          <w:b/>
          <w:color w:val="182638"/>
          <w:sz w:val="16"/>
        </w:rPr>
        <w:t xml:space="preserve">Copernicus DEM GLO-30 — AWS Open Data registry — </w:t>
      </w:r>
      <w:hyperlink r:id="rId30">
        <w:r>
          <w:rPr>
            <w:color w:val="0F766E"/>
            <w:u w:val="single"/>
            <w:sz w:val="20"/>
          </w:rPr>
          <w:t>https://registry.opendata.aws/copernicus-dem/</w:t>
        </w:r>
      </w:hyperlink>
    </w:p>
    <w:p>
      <w:pPr>
        <w:spacing w:after="60" w:line="240" w:lineRule="auto"/>
      </w:pPr>
      <w:r>
        <w:rPr>
          <w:rFonts w:ascii="Aptos" w:hAnsi="Aptos"/>
          <w:b/>
          <w:color w:val="0F9D91"/>
          <w:sz w:val="16"/>
        </w:rPr>
        <w:t xml:space="preserve">[R16] </w:t>
      </w:r>
      <w:r>
        <w:rPr>
          <w:rFonts w:ascii="Aptos" w:hAnsi="Aptos"/>
          <w:b/>
          <w:color w:val="182638"/>
          <w:sz w:val="16"/>
        </w:rPr>
        <w:t xml:space="preserve">European Commission — Global Human Settlement Layer download portal — </w:t>
      </w:r>
      <w:hyperlink r:id="rId31">
        <w:r>
          <w:rPr>
            <w:color w:val="0F766E"/>
            <w:u w:val="single"/>
            <w:sz w:val="20"/>
          </w:rPr>
          <w:t>https://human-settlement.emergency.copernicus.eu/downloadWizard.php</w:t>
        </w:r>
      </w:hyperlink>
    </w:p>
    <w:p>
      <w:pPr>
        <w:spacing w:after="60" w:line="240" w:lineRule="auto"/>
      </w:pPr>
      <w:r>
        <w:rPr>
          <w:rFonts w:ascii="Aptos" w:hAnsi="Aptos"/>
          <w:b/>
          <w:color w:val="0F9D91"/>
          <w:sz w:val="16"/>
        </w:rPr>
        <w:t xml:space="preserve">[R17] </w:t>
      </w:r>
      <w:r>
        <w:rPr>
          <w:rFonts w:ascii="Aptos" w:hAnsi="Aptos"/>
          <w:b/>
          <w:color w:val="182638"/>
          <w:sz w:val="16"/>
        </w:rPr>
        <w:t xml:space="preserve">OpenStreetMap India portal — </w:t>
      </w:r>
      <w:hyperlink r:id="rId32">
        <w:r>
          <w:rPr>
            <w:color w:val="0F766E"/>
            <w:u w:val="single"/>
            <w:sz w:val="20"/>
          </w:rPr>
          <w:t>https://www.openstreetmap.in/</w:t>
        </w:r>
      </w:hyperlink>
    </w:p>
    <w:p>
      <w:pPr>
        <w:spacing w:after="60" w:line="240" w:lineRule="auto"/>
      </w:pPr>
      <w:r>
        <w:rPr>
          <w:rFonts w:ascii="Aptos" w:hAnsi="Aptos"/>
          <w:b/>
          <w:color w:val="0F9D91"/>
          <w:sz w:val="16"/>
        </w:rPr>
        <w:t xml:space="preserve">[R18] </w:t>
      </w:r>
      <w:r>
        <w:rPr>
          <w:rFonts w:ascii="Aptos" w:hAnsi="Aptos"/>
          <w:b/>
          <w:color w:val="182638"/>
          <w:sz w:val="16"/>
        </w:rPr>
        <w:t xml:space="preserve">OpenStreetMap Wiki — Overpass API instances and usage policy notes — </w:t>
      </w:r>
      <w:hyperlink r:id="rId33">
        <w:r>
          <w:rPr>
            <w:color w:val="0F766E"/>
            <w:u w:val="single"/>
            <w:sz w:val="20"/>
          </w:rPr>
          <w:t>https://wiki.openstreetmap.org/wiki/Overpass_API</w:t>
        </w:r>
      </w:hyperlink>
    </w:p>
    <w:p>
      <w:pPr>
        <w:spacing w:after="60" w:line="240" w:lineRule="auto"/>
      </w:pPr>
      <w:r>
        <w:rPr>
          <w:rFonts w:ascii="Aptos" w:hAnsi="Aptos"/>
          <w:b/>
          <w:color w:val="0F9D91"/>
          <w:sz w:val="16"/>
        </w:rPr>
        <w:t xml:space="preserve">[R19] </w:t>
      </w:r>
      <w:r>
        <w:rPr>
          <w:rFonts w:ascii="Aptos" w:hAnsi="Aptos"/>
          <w:b/>
          <w:color w:val="182638"/>
          <w:sz w:val="16"/>
        </w:rPr>
        <w:t xml:space="preserve">Google Earth Engine Data Catalog — Global Flood Database v1, 2000–2018; 913 mapped events at 250 m — </w:t>
      </w:r>
      <w:hyperlink r:id="rId34">
        <w:r>
          <w:rPr>
            <w:color w:val="0F766E"/>
            <w:u w:val="single"/>
            <w:sz w:val="20"/>
          </w:rPr>
          <w:t>https://developers.google.com/earth-engine/datasets/catalog/GLOBAL_FLOOD_DB_MODIS_EVENTS_V1</w:t>
        </w:r>
      </w:hyperlink>
    </w:p>
    <w:p>
      <w:pPr>
        <w:spacing w:after="60" w:line="240" w:lineRule="auto"/>
      </w:pPr>
      <w:r>
        <w:rPr>
          <w:rFonts w:ascii="Aptos" w:hAnsi="Aptos"/>
          <w:b/>
          <w:color w:val="0F9D91"/>
          <w:sz w:val="16"/>
        </w:rPr>
        <w:t xml:space="preserve">[R20] </w:t>
      </w:r>
      <w:r>
        <w:rPr>
          <w:rFonts w:ascii="Aptos" w:hAnsi="Aptos"/>
          <w:b/>
          <w:color w:val="182638"/>
          <w:sz w:val="16"/>
        </w:rPr>
        <w:t xml:space="preserve">NASA GPM — IMERG precipitation data documentation — </w:t>
      </w:r>
      <w:hyperlink r:id="rId35">
        <w:r>
          <w:rPr>
            <w:color w:val="0F766E"/>
            <w:u w:val="single"/>
            <w:sz w:val="20"/>
          </w:rPr>
          <w:t>https://gpm.nasa.gov/data/imerg</w:t>
        </w:r>
      </w:hyperlink>
    </w:p>
    <w:p>
      <w:pPr>
        <w:spacing w:after="60" w:line="240" w:lineRule="auto"/>
      </w:pPr>
      <w:r>
        <w:rPr>
          <w:rFonts w:ascii="Aptos" w:hAnsi="Aptos"/>
          <w:b/>
          <w:color w:val="0F9D91"/>
          <w:sz w:val="16"/>
        </w:rPr>
        <w:t xml:space="preserve">[R21] </w:t>
      </w:r>
      <w:r>
        <w:rPr>
          <w:rFonts w:ascii="Aptos" w:hAnsi="Aptos"/>
          <w:b/>
          <w:color w:val="182638"/>
          <w:sz w:val="16"/>
        </w:rPr>
        <w:t xml:space="preserve">Google Earth Engine Data Catalog — CHIRPS daily precipitation — </w:t>
      </w:r>
      <w:hyperlink r:id="rId36">
        <w:r>
          <w:rPr>
            <w:color w:val="0F766E"/>
            <w:u w:val="single"/>
            <w:sz w:val="20"/>
          </w:rPr>
          <w:t>https://developers.google.com/earth-engine/datasets/catalog/UCSB-CHG_CHIRPS_DAILY</w:t>
        </w:r>
      </w:hyperlink>
    </w:p>
    <w:p>
      <w:pPr>
        <w:spacing w:after="60" w:line="240" w:lineRule="auto"/>
      </w:pPr>
      <w:r>
        <w:rPr>
          <w:rFonts w:ascii="Aptos" w:hAnsi="Aptos"/>
          <w:b/>
          <w:color w:val="0F9D91"/>
          <w:sz w:val="16"/>
        </w:rPr>
        <w:t xml:space="preserve">[R22] </w:t>
      </w:r>
      <w:r>
        <w:rPr>
          <w:rFonts w:ascii="Aptos" w:hAnsi="Aptos"/>
          <w:b/>
          <w:color w:val="182638"/>
          <w:sz w:val="16"/>
        </w:rPr>
        <w:t xml:space="preserve">OpenTopography developer/API access and free key limits — </w:t>
      </w:r>
      <w:hyperlink r:id="rId37">
        <w:r>
          <w:rPr>
            <w:color w:val="0F766E"/>
            <w:u w:val="single"/>
            <w:sz w:val="20"/>
          </w:rPr>
          <w:t>https://opentopography.org/developers</w:t>
        </w:r>
      </w:hyperlink>
    </w:p>
    <w:p>
      <w:pPr>
        <w:spacing w:after="60" w:line="240" w:lineRule="auto"/>
      </w:pPr>
      <w:r>
        <w:rPr>
          <w:rFonts w:ascii="Aptos" w:hAnsi="Aptos"/>
          <w:b/>
          <w:color w:val="0F9D91"/>
          <w:sz w:val="16"/>
        </w:rPr>
        <w:t xml:space="preserve">[R22A] </w:t>
      </w:r>
      <w:r>
        <w:rPr>
          <w:rFonts w:ascii="Aptos" w:hAnsi="Aptos"/>
          <w:b/>
          <w:color w:val="182638"/>
          <w:sz w:val="16"/>
        </w:rPr>
        <w:t xml:space="preserve">ISRIC SoilGrids — current documentation noting REST API service pause — </w:t>
      </w:r>
      <w:hyperlink r:id="rId38">
        <w:r>
          <w:rPr>
            <w:color w:val="0F766E"/>
            <w:u w:val="single"/>
            <w:sz w:val="20"/>
          </w:rPr>
          <w:t>https://isric.org/explore/soilgrids</w:t>
        </w:r>
      </w:hyperlink>
    </w:p>
    <w:p>
      <w:pPr>
        <w:spacing w:after="60" w:line="240" w:lineRule="auto"/>
      </w:pPr>
      <w:r>
        <w:rPr>
          <w:rFonts w:ascii="Aptos" w:hAnsi="Aptos"/>
          <w:b/>
          <w:color w:val="0F9D91"/>
          <w:sz w:val="16"/>
        </w:rPr>
        <w:t xml:space="preserve">[R23] </w:t>
      </w:r>
      <w:r>
        <w:rPr>
          <w:rFonts w:ascii="Aptos" w:hAnsi="Aptos"/>
          <w:b/>
          <w:color w:val="182638"/>
          <w:sz w:val="16"/>
        </w:rPr>
        <w:t xml:space="preserve">MapLibre GL JS — official 3D building extrusion example — </w:t>
      </w:r>
      <w:hyperlink r:id="rId39">
        <w:r>
          <w:rPr>
            <w:color w:val="0F766E"/>
            <w:u w:val="single"/>
            <w:sz w:val="20"/>
          </w:rPr>
          <w:t>https://maplibre.org/maplibre-gl-js/docs/examples/display-buildings-in-3d/</w:t>
        </w:r>
      </w:hyperlink>
    </w:p>
    <w:p>
      <w:pPr>
        <w:spacing w:after="60" w:line="240" w:lineRule="auto"/>
      </w:pPr>
      <w:r>
        <w:rPr>
          <w:rFonts w:ascii="Aptos" w:hAnsi="Aptos"/>
          <w:b/>
          <w:color w:val="0F9D91"/>
          <w:sz w:val="16"/>
        </w:rPr>
        <w:t xml:space="preserve">[R24] </w:t>
      </w:r>
      <w:r>
        <w:rPr>
          <w:rFonts w:ascii="Aptos" w:hAnsi="Aptos"/>
          <w:b/>
          <w:color w:val="182638"/>
          <w:sz w:val="16"/>
        </w:rPr>
        <w:t xml:space="preserve">Protomaps — PMTiles integration with MapLibre GL — </w:t>
      </w:r>
      <w:hyperlink r:id="rId40">
        <w:r>
          <w:rPr>
            <w:color w:val="0F766E"/>
            <w:u w:val="single"/>
            <w:sz w:val="20"/>
          </w:rPr>
          <w:t>https://docs.protomaps.com/pmtiles/maplibre</w:t>
        </w:r>
      </w:hyperlink>
    </w:p>
    <w:p>
      <w:pPr>
        <w:spacing w:after="60" w:line="240" w:lineRule="auto"/>
      </w:pPr>
      <w:r>
        <w:rPr>
          <w:rFonts w:ascii="Aptos" w:hAnsi="Aptos"/>
          <w:b/>
          <w:color w:val="0F9D91"/>
          <w:sz w:val="16"/>
        </w:rPr>
        <w:t xml:space="preserve">[R25] </w:t>
      </w:r>
      <w:r>
        <w:rPr>
          <w:rFonts w:ascii="Aptos" w:hAnsi="Aptos"/>
          <w:b/>
          <w:color w:val="182638"/>
          <w:sz w:val="16"/>
        </w:rPr>
        <w:t xml:space="preserve">Cloudflare Pages — platform limits (recheck current free plan quotas) — </w:t>
      </w:r>
      <w:hyperlink r:id="rId41">
        <w:r>
          <w:rPr>
            <w:color w:val="0F766E"/>
            <w:u w:val="single"/>
            <w:sz w:val="20"/>
          </w:rPr>
          <w:t>https://developers.cloudflare.com/pages/platform/limits/</w:t>
        </w:r>
      </w:hyperlink>
    </w:p>
    <w:p>
      <w:pPr>
        <w:spacing w:after="60" w:line="240" w:lineRule="auto"/>
      </w:pPr>
      <w:r>
        <w:rPr>
          <w:rFonts w:ascii="Aptos" w:hAnsi="Aptos"/>
          <w:b/>
          <w:color w:val="0F9D91"/>
          <w:sz w:val="16"/>
        </w:rPr>
        <w:t xml:space="preserve">[R26] </w:t>
      </w:r>
      <w:r>
        <w:rPr>
          <w:rFonts w:ascii="Aptos" w:hAnsi="Aptos"/>
          <w:b/>
          <w:color w:val="182638"/>
          <w:sz w:val="16"/>
        </w:rPr>
        <w:t xml:space="preserve">NetworkX — Dijkstra shortest-path algorithm docs — </w:t>
      </w:r>
      <w:hyperlink r:id="rId42">
        <w:r>
          <w:rPr>
            <w:color w:val="0F766E"/>
            <w:u w:val="single"/>
            <w:sz w:val="20"/>
          </w:rPr>
          <w:t>https://networkx.org/documentation/latest/reference/algorithms/shortest_paths/dijkstra.html</w:t>
        </w:r>
      </w:hyperlink>
    </w:p>
    <w:p>
      <w:pPr>
        <w:spacing w:after="60" w:line="240" w:lineRule="auto"/>
      </w:pPr>
      <w:r>
        <w:rPr>
          <w:rFonts w:ascii="Aptos" w:hAnsi="Aptos"/>
          <w:b/>
          <w:color w:val="0F9D91"/>
          <w:sz w:val="16"/>
        </w:rPr>
        <w:t xml:space="preserve">[R27] </w:t>
      </w:r>
      <w:r>
        <w:rPr>
          <w:rFonts w:ascii="Aptos" w:hAnsi="Aptos"/>
          <w:b/>
          <w:color w:val="182638"/>
          <w:sz w:val="16"/>
        </w:rPr>
        <w:t xml:space="preserve">Google OR-Tools — open-source optimization tools and supported problem classes — </w:t>
      </w:r>
      <w:hyperlink r:id="rId43">
        <w:r>
          <w:rPr>
            <w:color w:val="0F766E"/>
            <w:u w:val="single"/>
            <w:sz w:val="20"/>
          </w:rPr>
          <w:t>https://developers.google.com/optimization</w:t>
        </w:r>
      </w:hyperlink>
    </w:p>
    <w:p>
      <w:pPr>
        <w:spacing w:after="60" w:line="240" w:lineRule="auto"/>
      </w:pPr>
      <w:r>
        <w:rPr>
          <w:rFonts w:ascii="Aptos" w:hAnsi="Aptos"/>
          <w:b/>
          <w:color w:val="0F9D91"/>
          <w:sz w:val="16"/>
        </w:rPr>
        <w:t xml:space="preserve">[R28] </w:t>
      </w:r>
      <w:r>
        <w:rPr>
          <w:rFonts w:ascii="Aptos" w:hAnsi="Aptos"/>
          <w:b/>
          <w:color w:val="182638"/>
          <w:sz w:val="16"/>
        </w:rPr>
        <w:t xml:space="preserve">gaur-avvv/Flood-Prediction-Early-Warning — code repository and README — </w:t>
      </w:r>
      <w:hyperlink r:id="rId13">
        <w:r>
          <w:rPr>
            <w:color w:val="0F766E"/>
            <w:u w:val="single"/>
            <w:sz w:val="20"/>
          </w:rPr>
          <w:t>https://github.com/gaur-avvv/Flood-Prediction-Early-Warning</w:t>
        </w:r>
      </w:hyperlink>
    </w:p>
    <w:p>
      <w:pPr>
        <w:spacing w:after="60" w:line="240" w:lineRule="auto"/>
      </w:pPr>
      <w:r>
        <w:rPr>
          <w:rFonts w:ascii="Aptos" w:hAnsi="Aptos"/>
          <w:b/>
          <w:color w:val="0F9D91"/>
          <w:sz w:val="16"/>
        </w:rPr>
        <w:t xml:space="preserve">[R29] </w:t>
      </w:r>
      <w:r>
        <w:rPr>
          <w:rFonts w:ascii="Aptos" w:hAnsi="Aptos"/>
          <w:b/>
          <w:color w:val="182638"/>
          <w:sz w:val="16"/>
        </w:rPr>
        <w:t xml:space="preserve">gaur-avvv/Flood-Prediction-Early-Warning — trainer code path documenting synthetic-data startup training — </w:t>
      </w:r>
      <w:hyperlink r:id="rId44">
        <w:r>
          <w:rPr>
            <w:color w:val="0F766E"/>
            <w:u w:val="single"/>
            <w:sz w:val="20"/>
          </w:rPr>
          <w:t>https://github.com/gaur-avvv/Flood-Prediction-Early-Warning/blob/main/services/trainer.py</w:t>
        </w:r>
      </w:hyperlink>
    </w:p>
    <w:p>
      <w:pPr>
        <w:spacing w:after="60" w:line="240" w:lineRule="auto"/>
      </w:pPr>
      <w:r>
        <w:rPr>
          <w:rFonts w:ascii="Aptos" w:hAnsi="Aptos"/>
          <w:b/>
          <w:color w:val="0F9D91"/>
          <w:sz w:val="16"/>
        </w:rPr>
        <w:t xml:space="preserve">[R30] </w:t>
      </w:r>
      <w:r>
        <w:rPr>
          <w:rFonts w:ascii="Aptos" w:hAnsi="Aptos"/>
          <w:b/>
          <w:color w:val="182638"/>
          <w:sz w:val="16"/>
        </w:rPr>
        <w:t xml:space="preserve">himeshhalder/urban-flood — UI / mock-data implementation reference — </w:t>
      </w:r>
      <w:hyperlink r:id="rId14">
        <w:r>
          <w:rPr>
            <w:color w:val="0F766E"/>
            <w:u w:val="single"/>
            <w:sz w:val="20"/>
          </w:rPr>
          <w:t>https://github.com/himeshhalder/urban-flood</w:t>
        </w:r>
      </w:hyperlink>
    </w:p>
    <w:p>
      <w:pPr>
        <w:spacing w:after="60" w:line="240" w:lineRule="auto"/>
      </w:pPr>
      <w:r>
        <w:rPr>
          <w:rFonts w:ascii="Aptos" w:hAnsi="Aptos"/>
          <w:b/>
          <w:color w:val="0F9D91"/>
          <w:sz w:val="16"/>
        </w:rPr>
        <w:t xml:space="preserve">[R30A] </w:t>
      </w:r>
      <w:r>
        <w:rPr>
          <w:rFonts w:ascii="Aptos" w:hAnsi="Aptos"/>
          <w:b/>
          <w:color w:val="182638"/>
          <w:sz w:val="16"/>
        </w:rPr>
        <w:t xml:space="preserve">Chhavi24184/urban-flood-intelligence — dashboard scaffold and README — </w:t>
      </w:r>
      <w:hyperlink r:id="rId15">
        <w:r>
          <w:rPr>
            <w:color w:val="0F766E"/>
            <w:u w:val="single"/>
            <w:sz w:val="20"/>
          </w:rPr>
          <w:t>https://github.com/Chhavi24184/urban-flood-intelligence</w:t>
        </w:r>
      </w:hyperlink>
    </w:p>
    <w:p>
      <w:pPr>
        <w:spacing w:after="60" w:line="240" w:lineRule="auto"/>
      </w:pPr>
      <w:r>
        <w:rPr>
          <w:rFonts w:ascii="Aptos" w:hAnsi="Aptos"/>
          <w:b/>
          <w:color w:val="0F9D91"/>
          <w:sz w:val="16"/>
        </w:rPr>
        <w:t xml:space="preserve">[R31] </w:t>
      </w:r>
      <w:r>
        <w:rPr>
          <w:rFonts w:ascii="Aptos" w:hAnsi="Aptos"/>
          <w:b/>
          <w:color w:val="182638"/>
          <w:sz w:val="16"/>
        </w:rPr>
        <w:t xml:space="preserve">Jenamani and Bhan (2008), “Exceptional rainfall event of 26th July, 2005 over Mumbai - Analysis of radar echoes and rainfall,” MAUSAM — </w:t>
      </w:r>
      <w:hyperlink r:id="rId45">
        <w:r>
          <w:rPr>
            <w:color w:val="0F766E"/>
            <w:u w:val="single"/>
            <w:sz w:val="20"/>
          </w:rPr>
          <w:t>https://mausamjournal.imd.gov.in/index.php/MAUSAM/article/view/1269</w:t>
        </w:r>
      </w:hyperlink>
    </w:p>
    <w:p>
      <w:pPr>
        <w:spacing w:after="60" w:line="240" w:lineRule="auto"/>
      </w:pPr>
      <w:r>
        <w:rPr>
          <w:rFonts w:ascii="Aptos" w:hAnsi="Aptos"/>
          <w:b/>
          <w:color w:val="0F9D91"/>
          <w:sz w:val="16"/>
        </w:rPr>
        <w:t xml:space="preserve">[R32] </w:t>
      </w:r>
      <w:r>
        <w:rPr>
          <w:rFonts w:ascii="Aptos" w:hAnsi="Aptos"/>
          <w:b/>
          <w:color w:val="182638"/>
          <w:sz w:val="16"/>
        </w:rPr>
        <w:t xml:space="preserve">WRI India — Mumbai Climate Action Plan overview — </w:t>
      </w:r>
      <w:hyperlink r:id="rId46">
        <w:r>
          <w:rPr>
            <w:color w:val="0F766E"/>
            <w:u w:val="single"/>
            <w:sz w:val="20"/>
          </w:rPr>
          <w:t>https://wri-india.org/initiatives/mumbai-climate-action-plan-mcap</w:t>
        </w:r>
      </w:hyperlink>
    </w:p>
    <w:p>
      <w:pPr>
        <w:spacing w:after="60" w:line="240" w:lineRule="auto"/>
      </w:pPr>
      <w:r>
        <w:rPr>
          <w:rFonts w:ascii="Aptos" w:hAnsi="Aptos"/>
          <w:b/>
          <w:color w:val="0F9D91"/>
          <w:sz w:val="16"/>
        </w:rPr>
        <w:t xml:space="preserve">[R33] </w:t>
      </w:r>
      <w:r>
        <w:rPr>
          <w:rFonts w:ascii="Aptos" w:hAnsi="Aptos"/>
          <w:b/>
          <w:color w:val="182638"/>
          <w:sz w:val="16"/>
        </w:rPr>
        <w:t xml:space="preserve">Protomaps — PMTiles repository and format overview — </w:t>
      </w:r>
      <w:hyperlink r:id="rId47">
        <w:r>
          <w:rPr>
            <w:color w:val="0F766E"/>
            <w:u w:val="single"/>
            <w:sz w:val="20"/>
          </w:rPr>
          <w:t>https://github.com/protomaps/PMTiles</w:t>
        </w:r>
      </w:hyperlink>
    </w:p>
    <w:p>
      <w:pPr>
        <w:spacing w:after="60" w:line="240" w:lineRule="auto"/>
      </w:pPr>
      <w:r>
        <w:rPr>
          <w:rFonts w:ascii="Aptos" w:hAnsi="Aptos"/>
          <w:b/>
          <w:color w:val="0F9D91"/>
          <w:sz w:val="16"/>
        </w:rPr>
        <w:t xml:space="preserve">[R34] </w:t>
      </w:r>
      <w:r>
        <w:rPr>
          <w:rFonts w:ascii="Aptos" w:hAnsi="Aptos"/>
          <w:b/>
          <w:color w:val="182638"/>
          <w:sz w:val="16"/>
        </w:rPr>
        <w:t xml:space="preserve">OSMnx — graph_from_place and road-network API reference — </w:t>
      </w:r>
      <w:hyperlink r:id="rId48">
        <w:r>
          <w:rPr>
            <w:color w:val="0F766E"/>
            <w:u w:val="single"/>
            <w:sz w:val="20"/>
          </w:rPr>
          <w:t>https://osmnx.readthedocs.io/en/stable/user-reference.html</w:t>
        </w:r>
      </w:hyperlink>
    </w:p>
    <w:p>
      <w:pPr>
        <w:spacing w:after="60" w:line="240" w:lineRule="auto"/>
      </w:pPr>
      <w:r>
        <w:rPr>
          <w:rFonts w:ascii="Aptos" w:hAnsi="Aptos"/>
          <w:b/>
          <w:color w:val="0F9D91"/>
          <w:sz w:val="16"/>
        </w:rPr>
        <w:t xml:space="preserve">[R35] </w:t>
      </w:r>
      <w:r>
        <w:rPr>
          <w:rFonts w:ascii="Aptos" w:hAnsi="Aptos"/>
          <w:b/>
          <w:color w:val="182638"/>
          <w:sz w:val="16"/>
        </w:rPr>
        <w:t xml:space="preserve">IMD API Management Portal — </w:t>
      </w:r>
      <w:hyperlink r:id="rId49">
        <w:r>
          <w:rPr>
            <w:color w:val="0F766E"/>
            <w:u w:val="single"/>
            <w:sz w:val="20"/>
          </w:rPr>
          <w:t>https://api.imd.gov.in/public/index.php</w:t>
        </w:r>
      </w:hyperlink>
    </w:p>
    <w:p>
      <w:pPr>
        <w:spacing w:after="60" w:line="240" w:lineRule="auto"/>
      </w:pPr>
      <w:r>
        <w:rPr>
          <w:rFonts w:ascii="Aptos" w:hAnsi="Aptos"/>
          <w:b/>
          <w:color w:val="0F9D91"/>
          <w:sz w:val="16"/>
        </w:rPr>
        <w:t xml:space="preserve">[R36] </w:t>
      </w:r>
      <w:r>
        <w:rPr>
          <w:rFonts w:ascii="Aptos" w:hAnsi="Aptos"/>
          <w:b/>
          <w:color w:val="182638"/>
          <w:sz w:val="16"/>
        </w:rPr>
        <w:t xml:space="preserve">ECMWF / Copernicus — GloFAS forecast data documentation — </w:t>
      </w:r>
      <w:hyperlink r:id="rId50">
        <w:r>
          <w:rPr>
            <w:color w:val="0F766E"/>
            <w:u w:val="single"/>
            <w:sz w:val="20"/>
          </w:rPr>
          <w:t>https://www.ecmwf.int/en/forecasts/datasets/river-discharge-and-related-forecasted-data-global-flood-awareness-system</w:t>
        </w:r>
      </w:hyperlink>
    </w:p>
    <w:p>
      <w:pPr>
        <w:spacing w:after="60" w:line="240" w:lineRule="auto"/>
      </w:pPr>
      <w:r>
        <w:rPr>
          <w:rFonts w:ascii="Aptos" w:hAnsi="Aptos"/>
          <w:b/>
          <w:color w:val="0F9D91"/>
          <w:sz w:val="16"/>
        </w:rPr>
        <w:t xml:space="preserve">[R37] </w:t>
      </w:r>
      <w:r>
        <w:rPr>
          <w:rFonts w:ascii="Aptos" w:hAnsi="Aptos"/>
          <w:b/>
          <w:color w:val="182638"/>
          <w:sz w:val="16"/>
        </w:rPr>
        <w:t xml:space="preserve">Copernicus Emergency Management Service — GloFAS historical dataset and API-change notice — </w:t>
      </w:r>
      <w:hyperlink r:id="rId51">
        <w:r>
          <w:rPr>
            <w:color w:val="0F766E"/>
            <w:u w:val="single"/>
            <w:sz w:val="20"/>
          </w:rPr>
          <w:t>https://ewds.climate.copernicus.eu/datasets/cems-glofas-historical?tab=overview</w:t>
        </w:r>
      </w:hyperlink>
    </w:p>
    <w:p>
      <w:pPr>
        <w:spacing w:after="60" w:line="240" w:lineRule="auto"/>
      </w:pPr>
      <w:r>
        <w:rPr>
          <w:rFonts w:ascii="Aptos" w:hAnsi="Aptos"/>
          <w:b/>
          <w:color w:val="0F9D91"/>
          <w:sz w:val="16"/>
        </w:rPr>
        <w:t xml:space="preserve">[R38] </w:t>
      </w:r>
      <w:r>
        <w:rPr>
          <w:rFonts w:ascii="Aptos" w:hAnsi="Aptos"/>
          <w:b/>
          <w:color w:val="182638"/>
          <w:sz w:val="16"/>
        </w:rPr>
        <w:t xml:space="preserve">NRSC — National Database for Emergency Management (NDEM) discovery portal; some content is access-controlled — </w:t>
      </w:r>
      <w:hyperlink r:id="rId52">
        <w:r>
          <w:rPr>
            <w:color w:val="0F766E"/>
            <w:u w:val="single"/>
            <w:sz w:val="20"/>
          </w:rPr>
          <w:t>https://ndem.nrsc.gov.in/</w:t>
        </w:r>
      </w:hyperlink>
    </w:p>
    <w:p>
      <w:pPr>
        <w:pStyle w:val="Heading2"/>
        <w:keepNext/>
      </w:pPr>
      <w:r>
        <w:rPr>
          <w:rFonts w:ascii="Aptos" w:hAnsi="Aptos"/>
          <w:b/>
          <w:color w:val="0F9D91"/>
          <w:sz w:val="26"/>
        </w:rPr>
        <w:t>Research verification notes</w:t>
      </w:r>
    </w:p>
    <w:p>
      <w:pPr>
        <w:pStyle w:val="ListBullet"/>
        <w:spacing w:after="50" w:line="245" w:lineRule="auto"/>
        <w:ind w:left="360" w:hanging="216"/>
      </w:pPr>
      <w:r>
        <w:rPr>
          <w:rFonts w:ascii="Aptos" w:hAnsi="Aptos"/>
          <w:color w:val="182638"/>
          <w:sz w:val="18"/>
        </w:rPr>
        <w:t>The MCGM MapServer catalogue and layer metadata are indexed publicly and advertise GeoJSON/JSON query support. Direct layer query extraction was not successfully verified by the research browser due to timeouts; the team must test locally and cache a snapshot.</w:t>
      </w:r>
    </w:p>
    <w:p>
      <w:pPr>
        <w:pStyle w:val="ListBullet"/>
        <w:spacing w:after="50" w:line="245" w:lineRule="auto"/>
        <w:ind w:left="360" w:hanging="216"/>
      </w:pPr>
      <w:r>
        <w:rPr>
          <w:rFonts w:ascii="Aptos" w:hAnsi="Aptos"/>
          <w:color w:val="182638"/>
          <w:sz w:val="18"/>
        </w:rPr>
        <w:t>The NWDP pages list the Maharashtra hourly CSV resources, but the direct CSV downloads timed out in this browser session. Station metadata and file completeness remain unverified until downloaded locally.</w:t>
      </w:r>
    </w:p>
    <w:p>
      <w:pPr>
        <w:pStyle w:val="ListBullet"/>
        <w:spacing w:after="50" w:line="245" w:lineRule="auto"/>
        <w:ind w:left="360" w:hanging="216"/>
      </w:pPr>
      <w:r>
        <w:rPr>
          <w:rFonts w:ascii="Aptos" w:hAnsi="Aptos"/>
          <w:color w:val="182638"/>
          <w:sz w:val="18"/>
        </w:rPr>
        <w:t>The Mumbai rainfall repository’s README and code are accessible; the raw zipped dataset was not downloaded and audited in this session. Verify column units, timestamp shifts and data license before use.</w:t>
      </w:r>
    </w:p>
    <w:p>
      <w:pPr>
        <w:pStyle w:val="ListBullet"/>
        <w:spacing w:after="50" w:line="245" w:lineRule="auto"/>
        <w:ind w:left="360" w:hanging="216"/>
      </w:pPr>
      <w:r>
        <w:rPr>
          <w:rFonts w:ascii="Aptos" w:hAnsi="Aptos"/>
          <w:color w:val="182638"/>
          <w:sz w:val="18"/>
        </w:rPr>
        <w:t>The NDEM portal is useful for discovery, but it describes some content as intended for authorized users; do not assume anonymous bulk-download access.</w:t>
      </w:r>
    </w:p>
    <w:p>
      <w:pPr>
        <w:pStyle w:val="ListBullet"/>
        <w:spacing w:after="50" w:line="245" w:lineRule="auto"/>
        <w:ind w:left="360" w:hanging="216"/>
      </w:pPr>
      <w:r>
        <w:rPr>
          <w:rFonts w:ascii="Aptos" w:hAnsi="Aptos"/>
          <w:color w:val="182638"/>
          <w:sz w:val="18"/>
        </w:rPr>
        <w:t>Free-tier policies, APIs and portals change. The app should have no runtime dependence on any one external service, and the team should re-check the linked terms at build time.</w:t>
      </w:r>
    </w:p>
    <w:sectPr w:rsidR="00FC693F" w:rsidRPr="0006063C" w:rsidSect="00034616">
      <w:headerReference w:type="default" r:id="rId9"/>
      <w:footerReference w:type="default" r:id="rId10"/>
      <w:pgSz w:w="12240" w:h="15840"/>
      <w:pgMar w:top="893"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C6B78"/>
        <w:sz w:val="16"/>
      </w:rPr>
      <w:t xml:space="preserve">CASCADE ’26  •  PS 2.2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F9D91"/>
        <w:sz w:val="16"/>
      </w:rPr>
      <w:t>CASCADE ’26  /  CRISIS BEFORE CRISIS  /  PS 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1826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42338"/>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142338"/>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14233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omkar-nitsure/Mumbai_RainFall_Forecasting" TargetMode="External"/><Relationship Id="rId13" Type="http://schemas.openxmlformats.org/officeDocument/2006/relationships/hyperlink" Target="https://github.com/gaur-avvv/Flood-Prediction-Early-Warning" TargetMode="External"/><Relationship Id="rId14" Type="http://schemas.openxmlformats.org/officeDocument/2006/relationships/hyperlink" Target="https://github.com/himeshhalder/urban-flood" TargetMode="External"/><Relationship Id="rId15" Type="http://schemas.openxmlformats.org/officeDocument/2006/relationships/hyperlink" Target="https://github.com/Chhavi24184/urban-flood-intelligence" TargetMode="Externa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hyperlink" Target="https://prsrvgisapp.mcgm.gov.in/server/rest/services/mcgm/MCGMGIS_Departments_Master_All_Layers/MapServer/layers" TargetMode="External"/><Relationship Id="rId19" Type="http://schemas.openxmlformats.org/officeDocument/2006/relationships/hyperlink" Target="https://prsrvgisapp.mcgm.gov.in/server/rest/services/mcgm/MCGMGIS_Departments_Master_All_Layers_WGS/MapServer" TargetMode="External"/><Relationship Id="rId20" Type="http://schemas.openxmlformats.org/officeDocument/2006/relationships/hyperlink" Target="https://nwdp.nwic.gov.in/dataset/rainfall-telemetry-hourly-cwprs" TargetMode="External"/><Relationship Id="rId21" Type="http://schemas.openxmlformats.org/officeDocument/2006/relationships/hyperlink" Target="https://nwdp.nwic.gov.in/dataset/rainfall-telemetry-hourly-maharashtra-surface-water-department" TargetMode="External"/><Relationship Id="rId22" Type="http://schemas.openxmlformats.org/officeDocument/2006/relationships/hyperlink" Target="https://nwdp.nwic.gov.in/en/dataset/rainfall-cwc-telemetry-hourly" TargetMode="External"/><Relationship Id="rId23" Type="http://schemas.openxmlformats.org/officeDocument/2006/relationships/hyperlink" Target="https://api.imd.gov.in/public/api_reference.html" TargetMode="External"/><Relationship Id="rId24" Type="http://schemas.openxmlformats.org/officeDocument/2006/relationships/hyperlink" Target="https://open-meteo.com/en/docs" TargetMode="External"/><Relationship Id="rId25" Type="http://schemas.openxmlformats.org/officeDocument/2006/relationships/hyperlink" Target="https://open-meteo.com/en/terms" TargetMode="External"/><Relationship Id="rId26" Type="http://schemas.openxmlformats.org/officeDocument/2006/relationships/hyperlink" Target="https://open-meteo.com/en/docs/historical-forecast-api" TargetMode="External"/><Relationship Id="rId27" Type="http://schemas.openxmlformats.org/officeDocument/2006/relationships/hyperlink" Target="https://open-meteo.com/en/docs/historical-weather-api" TargetMode="External"/><Relationship Id="rId28" Type="http://schemas.openxmlformats.org/officeDocument/2006/relationships/hyperlink" Target="https://bhuvan-app1.nrsc.gov.in/disaster/usrtasks/flood/flood.php?uname=empty" TargetMode="External"/><Relationship Id="rId29" Type="http://schemas.openxmlformats.org/officeDocument/2006/relationships/hyperlink" Target="https://bhuvan-app1.nrsc.gov.in/disaster/usrtasks/flood_hz/flood_hz.php?uname=empty" TargetMode="External"/><Relationship Id="rId30" Type="http://schemas.openxmlformats.org/officeDocument/2006/relationships/hyperlink" Target="https://registry.opendata.aws/copernicus-dem/" TargetMode="External"/><Relationship Id="rId31" Type="http://schemas.openxmlformats.org/officeDocument/2006/relationships/hyperlink" Target="https://human-settlement.emergency.copernicus.eu/downloadWizard.php" TargetMode="External"/><Relationship Id="rId32" Type="http://schemas.openxmlformats.org/officeDocument/2006/relationships/hyperlink" Target="https://www.openstreetmap.in/" TargetMode="External"/><Relationship Id="rId33" Type="http://schemas.openxmlformats.org/officeDocument/2006/relationships/hyperlink" Target="https://wiki.openstreetmap.org/wiki/Overpass_API" TargetMode="External"/><Relationship Id="rId34" Type="http://schemas.openxmlformats.org/officeDocument/2006/relationships/hyperlink" Target="https://developers.google.com/earth-engine/datasets/catalog/GLOBAL_FLOOD_DB_MODIS_EVENTS_V1" TargetMode="External"/><Relationship Id="rId35" Type="http://schemas.openxmlformats.org/officeDocument/2006/relationships/hyperlink" Target="https://gpm.nasa.gov/data/imerg" TargetMode="External"/><Relationship Id="rId36" Type="http://schemas.openxmlformats.org/officeDocument/2006/relationships/hyperlink" Target="https://developers.google.com/earth-engine/datasets/catalog/UCSB-CHG_CHIRPS_DAILY" TargetMode="External"/><Relationship Id="rId37" Type="http://schemas.openxmlformats.org/officeDocument/2006/relationships/hyperlink" Target="https://opentopography.org/developers" TargetMode="External"/><Relationship Id="rId38" Type="http://schemas.openxmlformats.org/officeDocument/2006/relationships/hyperlink" Target="https://isric.org/explore/soilgrids" TargetMode="External"/><Relationship Id="rId39" Type="http://schemas.openxmlformats.org/officeDocument/2006/relationships/hyperlink" Target="https://maplibre.org/maplibre-gl-js/docs/examples/display-buildings-in-3d/" TargetMode="External"/><Relationship Id="rId40" Type="http://schemas.openxmlformats.org/officeDocument/2006/relationships/hyperlink" Target="https://docs.protomaps.com/pmtiles/maplibre" TargetMode="External"/><Relationship Id="rId41" Type="http://schemas.openxmlformats.org/officeDocument/2006/relationships/hyperlink" Target="https://developers.cloudflare.com/pages/platform/limits/" TargetMode="External"/><Relationship Id="rId42" Type="http://schemas.openxmlformats.org/officeDocument/2006/relationships/hyperlink" Target="https://networkx.org/documentation/latest/reference/algorithms/shortest_paths/dijkstra.html" TargetMode="External"/><Relationship Id="rId43" Type="http://schemas.openxmlformats.org/officeDocument/2006/relationships/hyperlink" Target="https://developers.google.com/optimization" TargetMode="External"/><Relationship Id="rId44" Type="http://schemas.openxmlformats.org/officeDocument/2006/relationships/hyperlink" Target="https://github.com/gaur-avvv/Flood-Prediction-Early-Warning/blob/main/services/trainer.py" TargetMode="External"/><Relationship Id="rId45" Type="http://schemas.openxmlformats.org/officeDocument/2006/relationships/hyperlink" Target="https://mausamjournal.imd.gov.in/index.php/MAUSAM/article/view/1269" TargetMode="External"/><Relationship Id="rId46" Type="http://schemas.openxmlformats.org/officeDocument/2006/relationships/hyperlink" Target="https://wri-india.org/initiatives/mumbai-climate-action-plan-mcap" TargetMode="External"/><Relationship Id="rId47" Type="http://schemas.openxmlformats.org/officeDocument/2006/relationships/hyperlink" Target="https://github.com/protomaps/PMTiles" TargetMode="External"/><Relationship Id="rId48" Type="http://schemas.openxmlformats.org/officeDocument/2006/relationships/hyperlink" Target="https://osmnx.readthedocs.io/en/stable/user-reference.html" TargetMode="External"/><Relationship Id="rId49" Type="http://schemas.openxmlformats.org/officeDocument/2006/relationships/hyperlink" Target="https://api.imd.gov.in/public/index.php" TargetMode="External"/><Relationship Id="rId50" Type="http://schemas.openxmlformats.org/officeDocument/2006/relationships/hyperlink" Target="https://www.ecmwf.int/en/forecasts/datasets/river-discharge-and-related-forecasted-data-global-flood-awareness-system" TargetMode="External"/><Relationship Id="rId51" Type="http://schemas.openxmlformats.org/officeDocument/2006/relationships/hyperlink" Target="https://ewds.climate.copernicus.eu/datasets/cems-glofas-historical?tab=overview" TargetMode="External"/><Relationship Id="rId52" Type="http://schemas.openxmlformats.org/officeDocument/2006/relationships/hyperlink" Target="https://ndem.nrsc.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CASCADE 26 PS 2.2 - Research and Build Blueprint</dc:title>
  <dc:subject>Data source audit, model plan, 3D UI and 24-hour implementation plan for The 72-Hour Warning</dc:subject>
  <dc:creator>OpenAI</dc:creator>
  <cp:keywords>CASCADE 2026, PS 2.2, urban flood cascade, Mumbai, GIS, 3D digital twin</cp:keywords>
  <dc:description>generated by python-docx</dc:description>
  <cp:lastModifiedBy/>
  <cp:revision>1</cp:revision>
  <dcterms:created xsi:type="dcterms:W3CDTF">2013-12-23T23:15:00Z</dcterms:created>
  <dcterms:modified xsi:type="dcterms:W3CDTF">2013-12-23T23:15:00Z</dcterms:modified>
  <cp:category/>
</cp:coreProperties>
</file>