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altk3d90yz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AGK Case Study Review Rubric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assess the structure, quality, alignment, and teaching utility of case studies and their corresponding teaching notes.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w1b8ca8hd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Section 1: Structure, Chronological and Logical Flow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Assess whether the case is well-organised, coherent, and flows naturally to build understanding and engagement.</w:t>
      </w:r>
    </w:p>
    <w:tbl>
      <w:tblPr>
        <w:tblStyle w:val="Table1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95.1219512195123"/>
        <w:gridCol w:w="3906.3414634146347"/>
        <w:gridCol w:w="2384.390243902439"/>
        <w:gridCol w:w="1674.146341463415"/>
        <w:tblGridChange w:id="0">
          <w:tblGrid>
            <w:gridCol w:w="1395.1219512195123"/>
            <w:gridCol w:w="3906.3414634146347"/>
            <w:gridCol w:w="2384.390243902439"/>
            <w:gridCol w:w="1674.14634146341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Evaluation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 Evaluation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Key theme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Identify if the central theme or problem statement is clearly defined and runs consistently throughout the case.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Detects clarity and recurrence of central ideas.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Clear / Ambiguous / Missing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Chronology maintained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Check if the sequence of events follows a logical timeline and supports reader comprehension.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Sequence analysis for time markers and transitions.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Sequential / Non-linear / Confusing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Logical coherence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Verify if arguments and events build naturally upon each other.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Analyze paragraph transitions and causal flow.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Consistent / Disjointed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Sectional connectivity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Ensure each section connects smoothly with the previous one, maintaining a single narrative thread.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NLP-based semantic linkage check between sections.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Connected / Fragmented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AGK template adherence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Evaluate whether all required headings under the AGK template are present and complete.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Structural pattern recognition.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Complete / Partial / Missing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Captivating hook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Check if the introduction captures attention and sets context for the case.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Sentiment and engagement score for the opening section.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Engaging / Flat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m20d8pamrkqz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Section 2: Language, Citations, and Factual Correctness</w:t>
      </w:r>
    </w:p>
    <w:p w:rsidR="00000000" w:rsidDel="00000000" w:rsidP="00000000" w:rsidRDefault="00000000" w:rsidRPr="00000000" w14:paraId="0000002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Evaluate readability, accuracy, and compliance with editorial and academic standards.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3315"/>
        <w:gridCol w:w="2550"/>
        <w:gridCol w:w="1935"/>
        <w:tblGridChange w:id="0">
          <w:tblGrid>
            <w:gridCol w:w="1560"/>
            <w:gridCol w:w="3315"/>
            <w:gridCol w:w="2550"/>
            <w:gridCol w:w="193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Evaluation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 Evaluation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Language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Ensure use of simple, active, and British English, past tense, avoiding passive voice or jargon.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Grammatical pattern detection and style consistency.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Clear / Wordy / Passive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Factual 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Verify all facts, data, and events with cited or linked evidence.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Cross-reference with cited sources or databases.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Accurate / Questionable / Unverified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Tone Neutrality and Bias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Ensure the narrative is neutral, avoids opinions, and stays evidence-based.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Sentiment neutrality scoring and bias detection.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Neutral / Slightly biased / Biased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Citation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Confirm that all sources are valid, functional, and properly formatted.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Link validation and citation parsing.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Verified / Broken / Missing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Additional readings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Identify the presence of recommended similar cases or supplementary materials 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Scan for “further reading” or “reference” sections.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Present / Absent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4wy6vv5jkb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Section 3: Alignment with Teaching Note, Sector, and Competency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Determine how well the case and teaching note (TN) complement each other, including academic and sectoral alignment.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6.3783783783786"/>
        <w:gridCol w:w="3453.0810810810813"/>
        <w:gridCol w:w="2517.0810810810813"/>
        <w:gridCol w:w="1783.4594594594594"/>
        <w:tblGridChange w:id="0">
          <w:tblGrid>
            <w:gridCol w:w="1606.3783783783786"/>
            <w:gridCol w:w="3453.0810810810813"/>
            <w:gridCol w:w="2517.0810810810813"/>
            <w:gridCol w:w="1783.459459459459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Evaluation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 Evaluation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Learning objectives alignment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Check if case study content reflects and reinforces the teaching note’s learning objectives.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Textual cross-mapping of objective keywords.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Aligned / Partially aligned / Not aligned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Theories and frameworks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Ensure TN includes relevant theoretical models connected to the case.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Detect framework references (e.g., SWOT, 7S,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Present / Missing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Competency alignment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Verify tagging of competencies from the Karmayogi Competency Model, ensuring they logically fit the case.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Match listed competencies with inferred behavioral indicators.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Strong / Weak / Absent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Sector/theme classification/SDG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Confirm correct tagging of the broader policy or thematic area.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Semantic matching with pre-defined sector taxonomy.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Correct / Misclassified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Additional readings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Identify the presence of recommended similar cases or supplementary materials 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Scan for “further reading” or “reference” sections.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Present / Absent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mawvtk5lpc1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Section 4: Overall Effectiveness and Impact</w:t>
      </w:r>
    </w:p>
    <w:p w:rsidR="00000000" w:rsidDel="00000000" w:rsidP="00000000" w:rsidRDefault="00000000" w:rsidRPr="00000000" w14:paraId="00000059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Purpose: Judge whether the case achieves its educational and practical objectives.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9.3513513513515"/>
        <w:gridCol w:w="3440.4324324324325"/>
        <w:gridCol w:w="2504.4324324324325"/>
        <w:gridCol w:w="1555.7837837837837"/>
        <w:tblGridChange w:id="0">
          <w:tblGrid>
            <w:gridCol w:w="1859.3513513513515"/>
            <w:gridCol w:w="3440.4324324324325"/>
            <w:gridCol w:w="2504.4324324324325"/>
            <w:gridCol w:w="1555.7837837837837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Evaluation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Example Evaluation Tags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Delivery and implementation clarity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Evaluate how challenges are articulated and whether solutions are well explained.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Extract problem-solution pairs and measure clarity score.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Clear / Incomplete / Ambiguous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Protagonist &amp; Stakeholder Perspectives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Check if perspectives of relevant stakeholders are included and the protagonist is clearly identified.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Named-entity and role extraction, stakeholder mapping.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Clear / Partial / Missing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Best practices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Identify lessons, replicable methods, or innovative practices clearly emerging from the narrative.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Keyword mapping and semantic clustering for “best practice” phrases.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Evident / Weak / Missing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Impact 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Determine whether results, transformations, or outcomes are described and substantiated.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Detection of outcome or results sections.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Visible / Minimal / Absent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 and Exhibits Quality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Assess whether data tables, figures, and exhibits are relevant, clear, and sourced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Format detection and source mapping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Strong / Needs improvement / Missing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