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00"/>
        <w:jc w:val="center"/>
      </w:pPr>
      <w:r>
        <w:rPr>
          <w:rFonts w:ascii="Times New Roman" w:cs="Times New Roman" w:eastAsia="Times New Roman" w:hAnsi="Times New Roman"/>
          <w:b/>
          <w:bCs/>
          <w:color w:val="1F3864"/>
          <w:sz w:val="40"/>
          <w:szCs w:val="40"/>
        </w:rPr>
        <w:t xml:space="preserve">SOFTWARE REQUIREMENTS SPECIFICATION</w:t>
      </w:r>
    </w:p>
    <w:p>
      <w:pPr>
        <w:spacing w:after="120"/>
        <w:jc w:val="center"/>
      </w:pPr>
      <w:r>
        <w:rPr>
          <w:rFonts w:ascii="Times New Roman" w:cs="Times New Roman" w:eastAsia="Times New Roman" w:hAnsi="Times New Roman"/>
          <w:b/>
          <w:bCs/>
          <w:color w:val="2E74B5"/>
          <w:sz w:val="30"/>
          <w:szCs w:val="30"/>
        </w:rPr>
        <w:t xml:space="preserve">Sathify — Smart Society Domestic Workforce Management System</w:t>
      </w:r>
    </w:p>
    <w:p>
      <w:pPr>
        <w:spacing w:after="800"/>
        <w:jc w:val="center"/>
      </w:pPr>
      <w:r>
        <w:rPr>
          <w:rFonts w:ascii="Times New Roman" w:cs="Times New Roman" w:eastAsia="Times New Roman" w:hAnsi="Times New Roman"/>
          <w:b w:val="false"/>
          <w:bCs w:val="false"/>
          <w:i/>
          <w:iCs/>
          <w:color w:val="555555"/>
          <w:sz w:val="22"/>
          <w:szCs w:val="22"/>
        </w:rPr>
        <w:t xml:space="preserve">A mobile-first platform for the verified hiring, scheduling, attendance, payment, and trust management of domestic workers within Indian residential societies.</w:t>
      </w:r>
    </w:p>
    <w:p>
      <w:pPr>
        <w:spacing w:after="60"/>
        <w:jc w:val="center"/>
      </w:pPr>
      <w:r>
        <w:rPr>
          <w:rFonts w:ascii="Times New Roman" w:cs="Times New Roman" w:eastAsia="Times New Roman" w:hAnsi="Times New Roman"/>
          <w:color w:val="222222"/>
          <w:sz w:val="21"/>
          <w:szCs w:val="21"/>
        </w:rPr>
        <w:t xml:space="preserve">Prepared for: Business, Technical, and Engineering Stakeholders</w:t>
      </w:r>
    </w:p>
    <w:p>
      <w:pPr>
        <w:spacing w:after="60"/>
        <w:jc w:val="center"/>
      </w:pPr>
      <w:r>
        <w:rPr>
          <w:rFonts w:ascii="Times New Roman" w:cs="Times New Roman" w:eastAsia="Times New Roman" w:hAnsi="Times New Roman"/>
          <w:color w:val="222222"/>
          <w:sz w:val="21"/>
          <w:szCs w:val="21"/>
        </w:rPr>
        <w:t xml:space="preserve">Date: August 9, 2026</w:t>
      </w:r>
    </w:p>
    <w:p>
      <w:pPr>
        <w:spacing w:after="60"/>
        <w:jc w:val="center"/>
      </w:pPr>
      <w:r>
        <w:rPr>
          <w:rFonts w:ascii="Times New Roman" w:cs="Times New Roman" w:eastAsia="Times New Roman" w:hAnsi="Times New Roman"/>
          <w:i/>
          <w:iCs/>
          <w:color w:val="222222"/>
          <w:sz w:val="21"/>
          <w:szCs w:val="21"/>
        </w:rPr>
        <w:t xml:space="preserve">Classification: Internal — Product &amp; Engineering</w:t>
      </w:r>
    </w:p>
    <w:p>
      <w:r>
        <w:br w:type="page"/>
      </w:r>
    </w:p>
    <w:p>
      <w:pPr>
        <w:pStyle w:val="Heading1"/>
        <w:spacing w:after="160" w:before="320"/>
      </w:pPr>
      <w:r>
        <w:rPr>
          <w:rFonts w:ascii="Times New Roman" w:cs="Times New Roman" w:eastAsia="Times New Roman" w:hAnsi="Times New Roman"/>
          <w:b/>
          <w:bCs/>
          <w:color w:val="1F3864"/>
          <w:sz w:val="30"/>
          <w:szCs w:val="30"/>
        </w:rPr>
        <w:t xml:space="preserve">1. Introduction</w:t>
      </w:r>
    </w:p>
    <w:p>
      <w:pPr>
        <w:pStyle w:val="Heading2"/>
        <w:spacing w:after="120" w:before="260"/>
      </w:pPr>
      <w:r>
        <w:rPr>
          <w:rFonts w:ascii="Times New Roman" w:cs="Times New Roman" w:eastAsia="Times New Roman" w:hAnsi="Times New Roman"/>
          <w:b/>
          <w:bCs/>
          <w:color w:val="2E74B5"/>
          <w:sz w:val="24"/>
          <w:szCs w:val="24"/>
        </w:rPr>
        <w:t xml:space="preserve">1.1 Purpose of the Document</w:t>
      </w:r>
    </w:p>
    <w:p>
      <w:pPr>
        <w:spacing w:after="160" w:line="276"/>
      </w:pPr>
      <w:r>
        <w:rPr>
          <w:rFonts w:ascii="Times New Roman" w:cs="Times New Roman" w:eastAsia="Times New Roman" w:hAnsi="Times New Roman"/>
          <w:b w:val="false"/>
          <w:bCs w:val="false"/>
          <w:i w:val="false"/>
          <w:iCs w:val="false"/>
          <w:color w:val="222222"/>
          <w:sz w:val="21"/>
          <w:szCs w:val="21"/>
        </w:rPr>
        <w:t xml:space="preserve">This Software Requirements Specification (SRS) defines, in full, the functional behaviour, business rationale, technical architecture, and quality requirements of Sathify. It is written to serve four audiences at once: the engineering team building and maintaining the platform, evaluators and reviewers assessing the project's completeness and rigor, prospective partners and stakeholders assessing its commercial viability, and society administrators or pilot residents validating that the system reflects real-world needs.</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document is deliberately unified rather than split across a technical specification and a separate business plan. Sathify's technical design decisions — offline-first attendance, a free-tier-only infrastructure stack, a four-tier AI fallback chain, a trust score that must be explainable — are inseparable from its commercial constraints as a zero-budget, four-person-built platform serving a two-sided market where one side is economically vulnerable. Reading the technical requirements without the business context, or the business model without the engineering constraints that shape it, gives an incomplete picture of the system. This document gives both together.</w:t>
      </w:r>
    </w:p>
    <w:p>
      <w:pPr>
        <w:spacing w:after="160" w:line="276"/>
      </w:pPr>
      <w:r>
        <w:rPr>
          <w:rFonts w:ascii="Times New Roman" w:cs="Times New Roman" w:eastAsia="Times New Roman" w:hAnsi="Times New Roman"/>
          <w:b w:val="false"/>
          <w:bCs w:val="false"/>
          <w:i w:val="false"/>
          <w:iCs w:val="false"/>
          <w:color w:val="222222"/>
          <w:sz w:val="21"/>
          <w:szCs w:val="21"/>
        </w:rPr>
        <w:t xml:space="preserve">Every requirement below reflects the system as it stands: a working, tested, deployed application, not a proposal. Where a capability is not yet built, it is explicitly marked as future scope in Section 6.</w:t>
      </w:r>
    </w:p>
    <w:p>
      <w:pPr>
        <w:pStyle w:val="Heading2"/>
        <w:spacing w:after="120" w:before="260"/>
      </w:pPr>
      <w:r>
        <w:rPr>
          <w:rFonts w:ascii="Times New Roman" w:cs="Times New Roman" w:eastAsia="Times New Roman" w:hAnsi="Times New Roman"/>
          <w:b/>
          <w:bCs/>
          <w:color w:val="2E74B5"/>
          <w:sz w:val="24"/>
          <w:szCs w:val="24"/>
        </w:rPr>
        <w:t xml:space="preserve">1.2 Project Scope</w:t>
      </w:r>
    </w:p>
    <w:p>
      <w:pPr>
        <w:spacing w:after="160" w:line="276"/>
      </w:pPr>
      <w:r>
        <w:rPr>
          <w:rFonts w:ascii="Times New Roman" w:cs="Times New Roman" w:eastAsia="Times New Roman" w:hAnsi="Times New Roman"/>
          <w:b w:val="false"/>
          <w:bCs w:val="false"/>
          <w:i w:val="false"/>
          <w:iCs w:val="false"/>
          <w:color w:val="222222"/>
          <w:sz w:val="21"/>
          <w:szCs w:val="21"/>
        </w:rPr>
        <w:t xml:space="preserve">Sathify is a cross-platform mobile application, built in Flutter, backed by a Django REST Framework JSON API, that digitizes the management of domestic workers (maids, cooks, cleaners, and similar household help) operating within gated residential societies in India.</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platform replaces an entirely informal, word-of-mouth system — paper attendance registers, unverified hiring, cash-only payment, no dispute mechanism, and no portable record of a worker's history — with a single mobile application used by four distinct classes of user: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Residents</w:t>
      </w:r>
      <w:r>
        <w:rPr>
          <w:rFonts w:ascii="Times New Roman" w:cs="Times New Roman" w:eastAsia="Times New Roman" w:hAnsi="Times New Roman"/>
          <w:b w:val="false"/>
          <w:bCs w:val="false"/>
          <w:i w:val="false"/>
          <w:iCs w:val="false"/>
          <w:color w:val="222222"/>
          <w:sz w:val="21"/>
          <w:szCs w:val="21"/>
        </w:rPr>
        <w:t xml:space="preserve">, who discover, hire, schedule, pay, and rate domestic workers, either as a standing (recurring) engagement or as a single time-bound one-day booking.</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Domestic workers</w:t>
      </w:r>
      <w:r>
        <w:rPr>
          <w:rFonts w:ascii="Times New Roman" w:cs="Times New Roman" w:eastAsia="Times New Roman" w:hAnsi="Times New Roman"/>
          <w:b w:val="false"/>
          <w:bCs w:val="false"/>
          <w:i w:val="false"/>
          <w:iCs w:val="false"/>
          <w:color w:val="222222"/>
          <w:sz w:val="21"/>
          <w:szCs w:val="21"/>
        </w:rPr>
        <w:t xml:space="preserve">, who register with government-ID-backed verification, manage their own availability and schedule, mark attendance, take urgent leave, track earnings, and are rated in turn.</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Security guards</w:t>
      </w:r>
      <w:r>
        <w:rPr>
          <w:rFonts w:ascii="Times New Roman" w:cs="Times New Roman" w:eastAsia="Times New Roman" w:hAnsi="Times New Roman"/>
          <w:b w:val="false"/>
          <w:bCs w:val="false"/>
          <w:i w:val="false"/>
          <w:iCs w:val="false"/>
          <w:color w:val="222222"/>
          <w:sz w:val="21"/>
          <w:szCs w:val="21"/>
        </w:rPr>
        <w:t xml:space="preserve">, who verify a worker's identity and booking at the society gate using a QR code and an optional face-verification check, and log every entry and exit.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Society administrators</w:t>
      </w:r>
      <w:r>
        <w:rPr>
          <w:rFonts w:ascii="Times New Roman" w:cs="Times New Roman" w:eastAsia="Times New Roman" w:hAnsi="Times New Roman"/>
          <w:b w:val="false"/>
          <w:bCs w:val="false"/>
          <w:i w:val="false"/>
          <w:iCs w:val="false"/>
          <w:color w:val="222222"/>
          <w:sz w:val="21"/>
          <w:szCs w:val="21"/>
        </w:rPr>
        <w:t xml:space="preserve">, who approve residents and workers, manage the worker directory, oversee complaints against a service-level clock, and review reporting and analytics for their society.</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system spans thirteen functional modules — identity and access management; society and resident onboarding; worker onboarding and KYC; discovery and hiring; one-day service booking; scheduling and task management; attendance and gate verification; payments and payouts; ratings, reviews and trust scoring; notifications; administration, reporting and complaints; an AI layer; and a cross-cutting set of offline-and-resilience engineering conventions that make the other twelve modules usable on unreliable connectivity and modest hardware.</w:t>
      </w:r>
    </w:p>
    <w:p>
      <w:pPr>
        <w:spacing w:after="160" w:line="276"/>
      </w:pPr>
      <w:r>
        <w:rPr>
          <w:rFonts w:ascii="Times New Roman" w:cs="Times New Roman" w:eastAsia="Times New Roman" w:hAnsi="Times New Roman"/>
          <w:b w:val="false"/>
          <w:bCs w:val="false"/>
          <w:i w:val="false"/>
          <w:iCs w:val="false"/>
          <w:color w:val="222222"/>
          <w:sz w:val="21"/>
          <w:szCs w:val="21"/>
        </w:rPr>
        <w:t xml:space="preserve">Sathify is a </w:t>
      </w:r>
      <w:r>
        <w:rPr>
          <w:rFonts w:ascii="Times New Roman" w:cs="Times New Roman" w:eastAsia="Times New Roman" w:hAnsi="Times New Roman"/>
          <w:b/>
          <w:bCs/>
          <w:i w:val="false"/>
          <w:iCs w:val="false"/>
          <w:color w:val="222222"/>
          <w:sz w:val="21"/>
          <w:szCs w:val="21"/>
        </w:rPr>
        <w:t xml:space="preserve">standalone, dedicated domestic-workforce module</w:t>
      </w:r>
      <w:r>
        <w:rPr>
          <w:rFonts w:ascii="Times New Roman" w:cs="Times New Roman" w:eastAsia="Times New Roman" w:hAnsi="Times New Roman"/>
          <w:b w:val="false"/>
          <w:bCs w:val="false"/>
          <w:i w:val="false"/>
          <w:iCs w:val="false"/>
          <w:color w:val="222222"/>
          <w:sz w:val="21"/>
          <w:szCs w:val="21"/>
        </w:rPr>
        <w:t xml:space="preserve"> that a society can adopt independently of any existing society-management or accounting software it may already run. It does not attempt to replace general-purpose society management platforms; it solves one problem — the verified, accountable, digitally-recorded management of domestic help — in depth.</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scope of this document covers the mobile application (Android first, with the codebase structured to extend to iOS), the backend API and all twelve of its constituent modules, the third-party integrations that support them (payments, push notifications, generative-AI providers, optical character recognition, and face verification), the infrastructure and deployment model the system runs on today, and the commercial strategy by which the platform is intended to sustain itself.</w:t>
      </w:r>
    </w:p>
    <w:p>
      <w:pPr>
        <w:pStyle w:val="Heading2"/>
        <w:spacing w:after="120" w:before="260"/>
      </w:pPr>
      <w:r>
        <w:rPr>
          <w:rFonts w:ascii="Times New Roman" w:cs="Times New Roman" w:eastAsia="Times New Roman" w:hAnsi="Times New Roman"/>
          <w:b/>
          <w:bCs/>
          <w:color w:val="2E74B5"/>
          <w:sz w:val="24"/>
          <w:szCs w:val="24"/>
        </w:rPr>
        <w:t xml:space="preserve">1.3 Business Ideology &amp; Core Vision</w:t>
      </w:r>
    </w:p>
    <w:p>
      <w:pPr>
        <w:spacing w:after="160" w:line="276"/>
      </w:pPr>
      <w:r>
        <w:rPr>
          <w:rFonts w:ascii="Times New Roman" w:cs="Times New Roman" w:eastAsia="Times New Roman" w:hAnsi="Times New Roman"/>
          <w:b w:val="false"/>
          <w:bCs w:val="false"/>
          <w:i w:val="false"/>
          <w:iCs w:val="false"/>
          <w:color w:val="222222"/>
          <w:sz w:val="21"/>
          <w:szCs w:val="21"/>
        </w:rPr>
        <w:t xml:space="preserve">Sathify is built on a single asymmetry that shapes every product and commercial decision in this document: </w:t>
      </w:r>
      <w:r>
        <w:rPr>
          <w:rFonts w:ascii="Times New Roman" w:cs="Times New Roman" w:eastAsia="Times New Roman" w:hAnsi="Times New Roman"/>
          <w:b/>
          <w:bCs/>
          <w:i w:val="false"/>
          <w:iCs w:val="false"/>
          <w:color w:val="222222"/>
          <w:sz w:val="21"/>
          <w:szCs w:val="21"/>
        </w:rPr>
        <w:t xml:space="preserve">the platform connects an affluent user (the resident) to an economically vulnerable one (the domestic worker), and a rupee taken from the worker's side costs far more than the same rupee earned from the resident's side.</w:t>
      </w:r>
      <w:r>
        <w:rPr>
          <w:rFonts w:ascii="Times New Roman" w:cs="Times New Roman" w:eastAsia="Times New Roman" w:hAnsi="Times New Roman"/>
          <w:b w:val="false"/>
          <w:bCs w:val="false"/>
          <w:i w:val="false"/>
          <w:iCs w:val="false"/>
          <w:color w:val="222222"/>
          <w:sz w:val="21"/>
          <w:szCs w:val="21"/>
        </w:rPr>
        <w:t xml:space="preserve"> It is a meaningful fraction of the worker's income; it is often invisible to the resident who is paying it; and it is trivially avoidable, because the informal, cash-based market the platform is trying to displace charges no commission at all and is one phone call away.</w:t>
      </w:r>
    </w:p>
    <w:p>
      <w:pPr>
        <w:spacing w:after="160" w:line="276"/>
      </w:pPr>
      <w:r>
        <w:rPr>
          <w:rFonts w:ascii="Times New Roman" w:cs="Times New Roman" w:eastAsia="Times New Roman" w:hAnsi="Times New Roman"/>
          <w:b w:val="false"/>
          <w:bCs w:val="false"/>
          <w:i w:val="false"/>
          <w:iCs w:val="false"/>
          <w:color w:val="222222"/>
          <w:sz w:val="21"/>
          <w:szCs w:val="21"/>
        </w:rPr>
        <w:t xml:space="preserve">This shapes the vision in three concrete ways.</w:t>
      </w:r>
    </w:p>
    <w:p>
      <w:pPr>
        <w:spacing w:after="160" w:line="276"/>
      </w:pPr>
      <w:r>
        <w:rPr>
          <w:rFonts w:ascii="Times New Roman" w:cs="Times New Roman" w:eastAsia="Times New Roman" w:hAnsi="Times New Roman"/>
          <w:b/>
          <w:bCs/>
          <w:i w:val="false"/>
          <w:iCs w:val="false"/>
          <w:color w:val="222222"/>
          <w:sz w:val="21"/>
          <w:szCs w:val="21"/>
        </w:rPr>
        <w:t xml:space="preserve">First, trust is the product, not a feature bolted onto a booking engine.</w:t>
      </w:r>
      <w:r>
        <w:rPr>
          <w:rFonts w:ascii="Times New Roman" w:cs="Times New Roman" w:eastAsia="Times New Roman" w:hAnsi="Times New Roman"/>
          <w:b w:val="false"/>
          <w:bCs w:val="false"/>
          <w:i w:val="false"/>
          <w:iCs w:val="false"/>
          <w:color w:val="222222"/>
          <w:sz w:val="21"/>
          <w:szCs w:val="21"/>
        </w:rPr>
        <w:t xml:space="preserve"> A resident is being asked to let a stranger into their home; a worker is being asked to trust that a household will pay fairly and treat them decently. Sathify's core function is therefore verification (government-ID-backed KYC, photographic identity, an auditable gate-entry log) and accountability (two-way ratings, an explainable trust score, a complaint process with a real deadline) — not merely a marketplace listing of who is available.</w:t>
      </w:r>
    </w:p>
    <w:p>
      <w:pPr>
        <w:spacing w:after="160" w:line="276"/>
      </w:pPr>
      <w:r>
        <w:rPr>
          <w:rFonts w:ascii="Times New Roman" w:cs="Times New Roman" w:eastAsia="Times New Roman" w:hAnsi="Times New Roman"/>
          <w:b/>
          <w:bCs/>
          <w:i w:val="false"/>
          <w:iCs w:val="false"/>
          <w:color w:val="222222"/>
          <w:sz w:val="21"/>
          <w:szCs w:val="21"/>
        </w:rPr>
        <w:t xml:space="preserve">Second, no automated system may cost a person their livelihood on the strength of an imperfect measurement.</w:t>
      </w:r>
      <w:r>
        <w:rPr>
          <w:rFonts w:ascii="Times New Roman" w:cs="Times New Roman" w:eastAsia="Times New Roman" w:hAnsi="Times New Roman"/>
          <w:b w:val="false"/>
          <w:bCs w:val="false"/>
          <w:i w:val="false"/>
          <w:iCs w:val="false"/>
          <w:color w:val="222222"/>
          <w:sz w:val="21"/>
          <w:szCs w:val="21"/>
        </w:rPr>
        <w:t xml:space="preserve"> Face-recognition accuracy, GPS accuracy, and OCR accuracy all degrade for exactly the population this platform serves — older phone cameras, poorer lighting, faces underrepresented in training data, addresses that do not resolve neatly. A design philosophy carried through every module states it plainly: a failed automated check produces a request for a human decision, never an automatic denial. A worker is never turned away from a gate, or docked a day's pay, because a model was uncertain.</w:t>
      </w:r>
    </w:p>
    <w:p>
      <w:pPr>
        <w:spacing w:after="160" w:line="276"/>
      </w:pPr>
      <w:r>
        <w:rPr>
          <w:rFonts w:ascii="Times New Roman" w:cs="Times New Roman" w:eastAsia="Times New Roman" w:hAnsi="Times New Roman"/>
          <w:b/>
          <w:bCs/>
          <w:i w:val="false"/>
          <w:iCs w:val="false"/>
          <w:color w:val="222222"/>
          <w:sz w:val="21"/>
          <w:szCs w:val="21"/>
        </w:rPr>
        <w:t xml:space="preserve">Second-and-a-half, dignity is symmetrical.</w:t>
      </w:r>
      <w:r>
        <w:rPr>
          <w:rFonts w:ascii="Times New Roman" w:cs="Times New Roman" w:eastAsia="Times New Roman" w:hAnsi="Times New Roman"/>
          <w:b w:val="false"/>
          <w:bCs w:val="false"/>
          <w:i w:val="false"/>
          <w:iCs w:val="false"/>
          <w:color w:val="222222"/>
          <w:sz w:val="21"/>
          <w:szCs w:val="21"/>
        </w:rPr>
        <w:t xml:space="preserve"> Workers rate residents just as residents rate workers; a worker may raise a complaint against a household exactly as a resident may raise one against a worker; a worker who must take emergency leave is approved instantly and without having to justify the reason, because a worker who has to negotiate permission to tend to a sick child will simply not show up, and the household loses all warning instead of ten days of it.</w:t>
      </w:r>
    </w:p>
    <w:p>
      <w:pPr>
        <w:spacing w:after="160" w:line="276"/>
      </w:pPr>
      <w:r>
        <w:rPr>
          <w:rFonts w:ascii="Times New Roman" w:cs="Times New Roman" w:eastAsia="Times New Roman" w:hAnsi="Times New Roman"/>
          <w:b/>
          <w:bCs/>
          <w:i w:val="false"/>
          <w:iCs w:val="false"/>
          <w:color w:val="222222"/>
          <w:sz w:val="21"/>
          <w:szCs w:val="21"/>
        </w:rPr>
        <w:t xml:space="preserve">Third, the commercial model must not tax the vulnerable side of the marketplace to subsidise the comfortable side.</w:t>
      </w:r>
      <w:r>
        <w:rPr>
          <w:rFonts w:ascii="Times New Roman" w:cs="Times New Roman" w:eastAsia="Times New Roman" w:hAnsi="Times New Roman"/>
          <w:b w:val="false"/>
          <w:bCs w:val="false"/>
          <w:i w:val="false"/>
          <w:iCs w:val="false"/>
          <w:color w:val="222222"/>
          <w:sz w:val="21"/>
          <w:szCs w:val="21"/>
        </w:rPr>
        <w:t xml:space="preserve"> Sathify's revenue strategy (Section 2) is built to charge societies and residents — the side with disposable income and an ongoing administrative need — while keeping the platform free to use for workers, guarding tip payments so that "100%" always means 100%, and refusing outright to build a commission on recurring wages.</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commercial and technical framing that follows is the direct expression of this ideology: a platform that is free to a society until the moment the society's committee is convinced it should pay for what it has already come to depend on, and free to a worker, permanently, by design.</w:t>
      </w:r>
    </w:p>
    <w:p>
      <w:pPr>
        <w:pStyle w:val="Heading1"/>
        <w:pageBreakBefore/>
        <w:spacing w:after="160" w:before="320"/>
      </w:pPr>
      <w:r>
        <w:rPr>
          <w:rFonts w:ascii="Times New Roman" w:cs="Times New Roman" w:eastAsia="Times New Roman" w:hAnsi="Times New Roman"/>
          <w:b/>
          <w:bCs/>
          <w:color w:val="1F3864"/>
          <w:sz w:val="30"/>
          <w:szCs w:val="30"/>
        </w:rPr>
        <w:t xml:space="preserve">2. Business &amp; Financial Strategy</w:t>
      </w:r>
    </w:p>
    <w:p>
      <w:pPr>
        <w:pStyle w:val="Heading2"/>
        <w:spacing w:after="120" w:before="260"/>
      </w:pPr>
      <w:r>
        <w:rPr>
          <w:rFonts w:ascii="Times New Roman" w:cs="Times New Roman" w:eastAsia="Times New Roman" w:hAnsi="Times New Roman"/>
          <w:b/>
          <w:bCs/>
          <w:color w:val="2E74B5"/>
          <w:sz w:val="24"/>
          <w:szCs w:val="24"/>
        </w:rPr>
        <w:t xml:space="preserve">2.1 Business Model</w:t>
      </w:r>
    </w:p>
    <w:p>
      <w:pPr>
        <w:spacing w:after="160" w:line="276"/>
      </w:pPr>
      <w:r>
        <w:rPr>
          <w:rFonts w:ascii="Times New Roman" w:cs="Times New Roman" w:eastAsia="Times New Roman" w:hAnsi="Times New Roman"/>
          <w:b w:val="false"/>
          <w:bCs w:val="false"/>
          <w:i w:val="false"/>
          <w:iCs w:val="false"/>
          <w:color w:val="222222"/>
          <w:sz w:val="21"/>
          <w:szCs w:val="21"/>
        </w:rPr>
        <w:t xml:space="preserve">Sathify operates as a </w:t>
      </w:r>
      <w:r>
        <w:rPr>
          <w:rFonts w:ascii="Times New Roman" w:cs="Times New Roman" w:eastAsia="Times New Roman" w:hAnsi="Times New Roman"/>
          <w:b/>
          <w:bCs/>
          <w:i w:val="false"/>
          <w:iCs w:val="false"/>
          <w:color w:val="222222"/>
          <w:sz w:val="21"/>
          <w:szCs w:val="21"/>
        </w:rPr>
        <w:t xml:space="preserve">two-sided, society-anchored marketplace</w:t>
      </w:r>
      <w:r>
        <w:rPr>
          <w:rFonts w:ascii="Times New Roman" w:cs="Times New Roman" w:eastAsia="Times New Roman" w:hAnsi="Times New Roman"/>
          <w:b w:val="false"/>
          <w:bCs w:val="false"/>
          <w:i w:val="false"/>
          <w:iCs w:val="false"/>
          <w:color w:val="222222"/>
          <w:sz w:val="21"/>
          <w:szCs w:val="21"/>
        </w:rPr>
        <w:t xml:space="preserve">, sold primarily as business-to-business software to a residential society's managing committee, with a free, high-value consumer experience layered on top for individual residents and workers.</w:t>
      </w:r>
    </w:p>
    <w:p>
      <w:pPr>
        <w:spacing w:after="160" w:line="276"/>
      </w:pPr>
      <w:r>
        <w:rPr>
          <w:rFonts w:ascii="Times New Roman" w:cs="Times New Roman" w:eastAsia="Times New Roman" w:hAnsi="Times New Roman"/>
          <w:b/>
          <w:bCs/>
          <w:i w:val="false"/>
          <w:iCs w:val="false"/>
          <w:color w:val="222222"/>
          <w:sz w:val="21"/>
          <w:szCs w:val="21"/>
        </w:rPr>
        <w:t xml:space="preserve">The unit of sale is the society, not the household.</w:t>
      </w:r>
      <w:r>
        <w:rPr>
          <w:rFonts w:ascii="Times New Roman" w:cs="Times New Roman" w:eastAsia="Times New Roman" w:hAnsi="Times New Roman"/>
          <w:b w:val="false"/>
          <w:bCs w:val="false"/>
          <w:i w:val="false"/>
          <w:iCs w:val="false"/>
          <w:color w:val="222222"/>
          <w:sz w:val="21"/>
          <w:szCs w:val="21"/>
        </w:rPr>
        <w:t xml:space="preserve"> An individual resident living in a society with no active Sathify subscription still gets the full product for free — discovery, hiring, one-day bookings, attendance, payments, and ratings all work identically. This is deliberate: individual residents are the acquisition channel. Once a meaningful fraction of a society's flats are actively using the app — the gate log has real entries, several complaints have been filed and resolved, and administrators have started relying on the worker directory — the pitch to the society's managing committee to formalise a paid subscription writes itself, because the alternative to paying is manually rebuilding records the platform already holds.</w:t>
      </w:r>
    </w:p>
    <w:p>
      <w:pPr>
        <w:spacing w:after="160" w:line="276"/>
      </w:pPr>
      <w:r>
        <w:rPr>
          <w:rFonts w:ascii="Times New Roman" w:cs="Times New Roman" w:eastAsia="Times New Roman" w:hAnsi="Times New Roman"/>
          <w:b/>
          <w:bCs/>
          <w:i w:val="false"/>
          <w:iCs w:val="false"/>
          <w:color w:val="222222"/>
          <w:sz w:val="21"/>
          <w:szCs w:val="21"/>
        </w:rPr>
        <w:t xml:space="preserve">The product resists disintermediation by design, and the business model is built around that fact rather than against it.</w:t>
      </w:r>
      <w:r>
        <w:rPr>
          <w:rFonts w:ascii="Times New Roman" w:cs="Times New Roman" w:eastAsia="Times New Roman" w:hAnsi="Times New Roman"/>
          <w:b w:val="false"/>
          <w:bCs w:val="false"/>
          <w:i w:val="false"/>
          <w:iCs w:val="false"/>
          <w:color w:val="222222"/>
          <w:sz w:val="21"/>
          <w:szCs w:val="21"/>
        </w:rPr>
        <w:t xml:space="preserve"> Recurring domestic-work arrangements disintermediate faster than almost any other marketplace category: after the first month, the resident and the worker have exchanged phone numbers, settled into a routine, and reverted to a cash relationship that owes the platform nothing. A revenue model that depends on a percentage of every recurring salary payment is therefore structurally unsound — both sides can simply stop reporting the transaction through the app. Sathify's answer is to make </w:t>
      </w:r>
      <w:r>
        <w:rPr>
          <w:rFonts w:ascii="Times New Roman" w:cs="Times New Roman" w:eastAsia="Times New Roman" w:hAnsi="Times New Roman"/>
          <w:b/>
          <w:bCs/>
          <w:i w:val="false"/>
          <w:iCs w:val="false"/>
          <w:color w:val="222222"/>
          <w:sz w:val="21"/>
          <w:szCs w:val="21"/>
        </w:rPr>
        <w:t xml:space="preserve">zero</w:t>
      </w:r>
      <w:r>
        <w:rPr>
          <w:rFonts w:ascii="Times New Roman" w:cs="Times New Roman" w:eastAsia="Times New Roman" w:hAnsi="Times New Roman"/>
          <w:b w:val="false"/>
          <w:bCs w:val="false"/>
          <w:i w:val="false"/>
          <w:iCs w:val="false"/>
          <w:color w:val="222222"/>
          <w:sz w:val="21"/>
          <w:szCs w:val="21"/>
        </w:rPr>
        <w:t xml:space="preserve"> revenue from recurring salary transactions, and to build its revenue instead around the things that do not disintermediate: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5040"/>
        <w:gridCol w:w="5040"/>
      </w:tblGrid>
      <w:tr>
        <w:trPr>
          <w:tblHeader/>
        </w:trPr>
        <w:tc>
          <w:tcPr>
            <w:tcW w:type="dxa" w:w="504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What is charged</w:t>
            </w:r>
          </w:p>
        </w:tc>
        <w:tc>
          <w:tcPr>
            <w:tcW w:type="dxa" w:w="504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Why it survives disintermediation</w:t>
            </w:r>
          </w:p>
        </w:tc>
      </w:tr>
      <w:tr>
        <w:trPr>
          <w:tblHeader w:val="false"/>
        </w:trPr>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 monthly/annual subscription paid by the </w:t>
            </w:r>
            <w:r>
              <w:rPr>
                <w:rFonts w:ascii="Times New Roman" w:cs="Times New Roman" w:eastAsia="Times New Roman" w:hAnsi="Times New Roman"/>
                <w:b/>
                <w:bCs/>
                <w:i w:val="false"/>
                <w:iCs w:val="false"/>
                <w:color w:val="222222"/>
                <w:sz w:val="20"/>
                <w:szCs w:val="20"/>
              </w:rPr>
              <w:t xml:space="preserve">society</w:t>
            </w:r>
          </w:p>
        </w:tc>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The gate log, attendance history, and complaint queue are the society's own operational record. Leaving the platform means losing the record, not just the convenience.</w:t>
            </w:r>
          </w:p>
        </w:tc>
      </w:tr>
      <w:tr>
        <w:trPr>
          <w:tblHeader w:val="false"/>
        </w:trPr>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 convenience fee on </w:t>
            </w:r>
            <w:r>
              <w:rPr>
                <w:rFonts w:ascii="Times New Roman" w:cs="Times New Roman" w:eastAsia="Times New Roman" w:hAnsi="Times New Roman"/>
                <w:b/>
                <w:bCs/>
                <w:i w:val="false"/>
                <w:iCs w:val="false"/>
                <w:color w:val="222222"/>
                <w:sz w:val="20"/>
                <w:szCs w:val="20"/>
              </w:rPr>
              <w:t xml:space="preserve">one-day bookings</w:t>
            </w:r>
          </w:p>
        </w:tc>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 one-off booking is a genuine, single transaction with no ongoing relationship to disintermediate.</w:t>
            </w:r>
          </w:p>
        </w:tc>
      </w:tr>
      <w:tr>
        <w:trPr>
          <w:tblHeader w:val="false"/>
        </w:trPr>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One-off </w:t>
            </w:r>
            <w:r>
              <w:rPr>
                <w:rFonts w:ascii="Times New Roman" w:cs="Times New Roman" w:eastAsia="Times New Roman" w:hAnsi="Times New Roman"/>
                <w:b/>
                <w:bCs/>
                <w:i w:val="false"/>
                <w:iCs w:val="false"/>
                <w:color w:val="222222"/>
                <w:sz w:val="20"/>
                <w:szCs w:val="20"/>
              </w:rPr>
              <w:t xml:space="preserve">verification services</w:t>
            </w:r>
            <w:r>
              <w:rPr>
                <w:rFonts w:ascii="Times New Roman" w:cs="Times New Roman" w:eastAsia="Times New Roman" w:hAnsi="Times New Roman"/>
                <w:b w:val="false"/>
                <w:bCs w:val="false"/>
                <w:i w:val="false"/>
                <w:iCs w:val="false"/>
                <w:color w:val="222222"/>
                <w:sz w:val="20"/>
                <w:szCs w:val="20"/>
              </w:rPr>
              <w:t xml:space="preserve"> (e.g. police verification)</w:t>
            </w:r>
          </w:p>
        </w:tc>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 background check is a discrete product delivered once, not a recurring toll.</w:t>
            </w:r>
          </w:p>
        </w:tc>
      </w:tr>
      <w:tr>
        <w:trPr>
          <w:tblHeader w:val="false"/>
        </w:trPr>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The </w:t>
            </w:r>
            <w:r>
              <w:rPr>
                <w:rFonts w:ascii="Times New Roman" w:cs="Times New Roman" w:eastAsia="Times New Roman" w:hAnsi="Times New Roman"/>
                <w:b/>
                <w:bCs/>
                <w:i w:val="false"/>
                <w:iCs w:val="false"/>
                <w:color w:val="222222"/>
                <w:sz w:val="20"/>
                <w:szCs w:val="20"/>
              </w:rPr>
              <w:t xml:space="preserve">digital payment rail</w:t>
            </w:r>
            <w:r>
              <w:rPr>
                <w:rFonts w:ascii="Times New Roman" w:cs="Times New Roman" w:eastAsia="Times New Roman" w:hAnsi="Times New Roman"/>
                <w:b w:val="false"/>
                <w:bCs w:val="false"/>
                <w:i w:val="false"/>
                <w:iCs w:val="false"/>
                <w:color w:val="222222"/>
                <w:sz w:val="20"/>
                <w:szCs w:val="20"/>
              </w:rPr>
              <w:t xml:space="preserve"> itself</w:t>
            </w:r>
          </w:p>
        </w:tc>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Valuable only for as long as it remains easier than handing over cash — an incentive to keep the payment experience genuinely good, not merely present.</w:t>
            </w:r>
          </w:p>
        </w:tc>
      </w:tr>
      <w:tr>
        <w:trPr>
          <w:tblHeader w:val="false"/>
        </w:trPr>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Advertising</w:t>
            </w:r>
            <w:r>
              <w:rPr>
                <w:rFonts w:ascii="Times New Roman" w:cs="Times New Roman" w:eastAsia="Times New Roman" w:hAnsi="Times New Roman"/>
                <w:b w:val="false"/>
                <w:bCs w:val="false"/>
                <w:i w:val="false"/>
                <w:iCs w:val="false"/>
                <w:color w:val="222222"/>
                <w:sz w:val="20"/>
                <w:szCs w:val="20"/>
              </w:rPr>
              <w:t xml:space="preserve">, shown only to residents</w:t>
            </w:r>
          </w:p>
        </w:tc>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Entirely independent of whether any transaction happens on the platform at all.</w:t>
            </w:r>
          </w:p>
        </w:tc>
      </w:tr>
    </w:tbl>
    <w:p>
      <w:pPr>
        <w:spacing w:after="200"/>
      </w:pPr>
    </w:p>
    <w:p>
      <w:pPr>
        <w:spacing w:after="160" w:line="276"/>
      </w:pPr>
      <w:r>
        <w:rPr>
          <w:rFonts w:ascii="Times New Roman" w:cs="Times New Roman" w:eastAsia="Times New Roman" w:hAnsi="Times New Roman"/>
          <w:b w:val="false"/>
          <w:bCs w:val="false"/>
          <w:i w:val="false"/>
          <w:iCs w:val="false"/>
          <w:color w:val="222222"/>
          <w:sz w:val="21"/>
          <w:szCs w:val="21"/>
        </w:rPr>
        <w:t xml:space="preserve">This model has already shaped the platform's technical implementation, not merely its pricing page: </w:t>
      </w:r>
      <w:r>
        <w:rPr>
          <w:rFonts w:ascii="Consolas" w:cs="Consolas" w:eastAsia="Consolas" w:hAnsi="Consolas"/>
          <w:b w:val="false"/>
          <w:bCs w:val="false"/>
          <w:i w:val="false"/>
          <w:iCs w:val="false"/>
          <w:color w:val="222222"/>
          <w:sz w:val="19"/>
          <w:szCs w:val="19"/>
        </w:rPr>
        <w:t xml:space="preserve">SocietySubscription</w:t>
      </w:r>
      <w:r>
        <w:rPr>
          <w:rFonts w:ascii="Times New Roman" w:cs="Times New Roman" w:eastAsia="Times New Roman" w:hAnsi="Times New Roman"/>
          <w:b w:val="false"/>
          <w:bCs w:val="false"/>
          <w:i w:val="false"/>
          <w:iCs w:val="false"/>
          <w:color w:val="222222"/>
          <w:sz w:val="21"/>
          <w:szCs w:val="21"/>
        </w:rPr>
        <w:t xml:space="preserve"> exists as a first-class data model with a </w:t>
      </w:r>
      <w:r>
        <w:rPr>
          <w:rFonts w:ascii="Consolas" w:cs="Consolas" w:eastAsia="Consolas" w:hAnsi="Consolas"/>
          <w:b w:val="false"/>
          <w:bCs w:val="false"/>
          <w:i w:val="false"/>
          <w:iCs w:val="false"/>
          <w:color w:val="222222"/>
          <w:sz w:val="19"/>
          <w:szCs w:val="19"/>
        </w:rPr>
        <w:t xml:space="preserve">FREE</w:t>
      </w:r>
      <w:r>
        <w:rPr>
          <w:rFonts w:ascii="Times New Roman" w:cs="Times New Roman" w:eastAsia="Times New Roman" w:hAnsi="Times New Roman"/>
          <w:b w:val="false"/>
          <w:bCs w:val="false"/>
          <w:i w:val="false"/>
          <w:iCs w:val="false"/>
          <w:color w:val="222222"/>
          <w:sz w:val="21"/>
          <w:szCs w:val="21"/>
        </w:rPr>
        <w:t xml:space="preserve"> tier that is treated as a permanent, fully-functional state rather than a time-limited trial, </w:t>
      </w:r>
      <w:r>
        <w:rPr>
          <w:rFonts w:ascii="Consolas" w:cs="Consolas" w:eastAsia="Consolas" w:hAnsi="Consolas"/>
          <w:b w:val="false"/>
          <w:bCs w:val="false"/>
          <w:i w:val="false"/>
          <w:iCs w:val="false"/>
          <w:color w:val="222222"/>
          <w:sz w:val="19"/>
          <w:szCs w:val="19"/>
        </w:rPr>
        <w:t xml:space="preserve">Payment.platform_fee_paise</w:t>
      </w:r>
      <w:r>
        <w:rPr>
          <w:rFonts w:ascii="Times New Roman" w:cs="Times New Roman" w:eastAsia="Times New Roman" w:hAnsi="Times New Roman"/>
          <w:b w:val="false"/>
          <w:bCs w:val="false"/>
          <w:i w:val="false"/>
          <w:iCs w:val="false"/>
          <w:color w:val="222222"/>
          <w:sz w:val="21"/>
          <w:szCs w:val="21"/>
        </w:rPr>
        <w:t xml:space="preserve"> exists in the schema today with the fee itself switched off, and every payment kind that represents a wage transfer (</w:t>
      </w:r>
      <w:r>
        <w:rPr>
          <w:rFonts w:ascii="Consolas" w:cs="Consolas" w:eastAsia="Consolas" w:hAnsi="Consolas"/>
          <w:b w:val="false"/>
          <w:bCs w:val="false"/>
          <w:i w:val="false"/>
          <w:iCs w:val="false"/>
          <w:color w:val="222222"/>
          <w:sz w:val="19"/>
          <w:szCs w:val="19"/>
        </w:rPr>
        <w:t xml:space="preserve">ENGAGEMENT_SALARY</w:t>
      </w:r>
      <w:r>
        <w:rPr>
          <w:rFonts w:ascii="Times New Roman" w:cs="Times New Roman" w:eastAsia="Times New Roman" w:hAnsi="Times New Roman"/>
          <w:b w:val="false"/>
          <w:bCs w:val="false"/>
          <w:i w:val="false"/>
          <w:iCs w:val="false"/>
          <w:color w:val="222222"/>
          <w:sz w:val="21"/>
          <w:szCs w:val="21"/>
        </w:rPr>
        <w:t xml:space="preserve">), a tip, a same-day replacement's earnings, or a refund is hard-coded as exempt from any platform fee.</w:t>
      </w:r>
    </w:p>
    <w:p>
      <w:pPr>
        <w:pStyle w:val="Heading2"/>
        <w:spacing w:after="120" w:before="260"/>
      </w:pPr>
      <w:r>
        <w:rPr>
          <w:rFonts w:ascii="Times New Roman" w:cs="Times New Roman" w:eastAsia="Times New Roman" w:hAnsi="Times New Roman"/>
          <w:b/>
          <w:bCs/>
          <w:color w:val="2E74B5"/>
          <w:sz w:val="24"/>
          <w:szCs w:val="24"/>
        </w:rPr>
        <w:t xml:space="preserve">2.2 Expected Revenue Sources</w:t>
      </w:r>
    </w:p>
    <w:p>
      <w:pPr>
        <w:spacing w:after="160" w:line="276"/>
      </w:pPr>
      <w:r>
        <w:rPr>
          <w:rFonts w:ascii="Times New Roman" w:cs="Times New Roman" w:eastAsia="Times New Roman" w:hAnsi="Times New Roman"/>
          <w:b w:val="false"/>
          <w:bCs w:val="false"/>
          <w:i w:val="false"/>
          <w:iCs w:val="false"/>
          <w:color w:val="222222"/>
          <w:sz w:val="21"/>
          <w:szCs w:val="21"/>
        </w:rPr>
        <w:t xml:space="preserve">Revenue is deliberately layered, sequenced, and ranked by how durable it is expected to be — not by how large any single line looks at launch.</w:t>
      </w:r>
    </w:p>
    <w:p>
      <w:pPr>
        <w:spacing w:after="160" w:line="276"/>
      </w:pPr>
      <w:r>
        <w:rPr>
          <w:rFonts w:ascii="Times New Roman" w:cs="Times New Roman" w:eastAsia="Times New Roman" w:hAnsi="Times New Roman"/>
          <w:b/>
          <w:bCs/>
          <w:i w:val="false"/>
          <w:iCs w:val="false"/>
          <w:color w:val="222222"/>
          <w:sz w:val="21"/>
          <w:szCs w:val="21"/>
        </w:rPr>
        <w:t xml:space="preserve">1. Society subscriptions (the primary, durable revenue line).</w:t>
      </w:r>
      <w:r>
        <w:rPr>
          <w:rFonts w:ascii="Times New Roman" w:cs="Times New Roman" w:eastAsia="Times New Roman" w:hAnsi="Times New Roman"/>
          <w:b w:val="false"/>
          <w:bCs w:val="false"/>
          <w:i w:val="false"/>
          <w:iCs w:val="false"/>
          <w:color w:val="222222"/>
          <w:sz w:val="21"/>
          <w:szCs w:val="21"/>
        </w:rPr>
        <w:t xml:space="preserve"> Sold to the society's managing committee, not to individual residents, across three tiers: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3360"/>
        <w:gridCol w:w="3360"/>
        <w:gridCol w:w="3360"/>
      </w:tblGrid>
      <w:tr>
        <w:trPr>
          <w:tblHeader/>
        </w:trPr>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Tier</w:t>
            </w:r>
          </w:p>
        </w:tc>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Price</w:t>
            </w:r>
          </w:p>
        </w:tc>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What it unlocks</w:t>
            </w:r>
          </w:p>
        </w:tc>
      </w:tr>
      <w:tr>
        <w:trPr>
          <w:tblHeader w:val="false"/>
        </w:trPr>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Free</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₹0, indefinitely</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Up to 25 registered workers, the gate log, complaint handling, and 30 days of history. Deliberately fully functional and permanent — a society must be able to run on it forever, or it will never trust the platform enough to migrate its records in.</w:t>
            </w:r>
          </w:p>
        </w:tc>
      </w:tr>
      <w:tr>
        <w:trPr>
          <w:tblHeader w:val="false"/>
        </w:trPr>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Standard</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₹1,500/month or ₹15,000/year</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Unlimited workers, 12 months of history, monthly PDF/CSV reports, attendance exports, SLA escalation on complaints, and up to 3 administrator accounts.</w:t>
            </w:r>
          </w:p>
        </w:tc>
      </w:tr>
      <w:tr>
        <w:trPr>
          <w:tblHeader w:val="false"/>
        </w:trPr>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Plus</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₹4,000/month</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Everything in Standard, plus five background-verification credits per month, multi-gate support, API access for a society's existing ERP, priority replacement matching, and the one-day booking convenience fee waived.</w:t>
            </w:r>
          </w:p>
        </w:tc>
      </w:tr>
    </w:tbl>
    <w:p>
      <w:pPr>
        <w:spacing w:after="200"/>
      </w:pPr>
    </w:p>
    <w:p>
      <w:pPr>
        <w:spacing w:after="160" w:line="276"/>
      </w:pPr>
      <w:r>
        <w:rPr>
          <w:rFonts w:ascii="Times New Roman" w:cs="Times New Roman" w:eastAsia="Times New Roman" w:hAnsi="Times New Roman"/>
          <w:b w:val="false"/>
          <w:bCs w:val="false"/>
          <w:i w:val="false"/>
          <w:iCs w:val="false"/>
          <w:color w:val="222222"/>
          <w:sz w:val="21"/>
          <w:szCs w:val="21"/>
        </w:rPr>
        <w:t xml:space="preserve">The pricing anchor is straightforward: a 200-flat society already spends roughly ₹25,000–₹40,000 per month on its own security staffing budget. A ₹1,500 monthly subscription is a rounding error against that figure, and the pitch is a gate log and attendance register that cannot be lost, back-dated, or argued with.</w:t>
      </w:r>
    </w:p>
    <w:p>
      <w:pPr>
        <w:spacing w:after="160" w:line="276"/>
      </w:pPr>
      <w:r>
        <w:rPr>
          <w:rFonts w:ascii="Times New Roman" w:cs="Times New Roman" w:eastAsia="Times New Roman" w:hAnsi="Times New Roman"/>
          <w:b w:val="false"/>
          <w:bCs w:val="false"/>
          <w:i w:val="false"/>
          <w:iCs w:val="false"/>
          <w:color w:val="222222"/>
          <w:sz w:val="21"/>
          <w:szCs w:val="21"/>
        </w:rPr>
        <w:t xml:space="preserve">Crucially, a society's subscription </w:t>
      </w:r>
      <w:r>
        <w:rPr>
          <w:rFonts w:ascii="Times New Roman" w:cs="Times New Roman" w:eastAsia="Times New Roman" w:hAnsi="Times New Roman"/>
          <w:b/>
          <w:bCs/>
          <w:i w:val="false"/>
          <w:iCs w:val="false"/>
          <w:color w:val="222222"/>
          <w:sz w:val="21"/>
          <w:szCs w:val="21"/>
        </w:rPr>
        <w:t xml:space="preserve">lapsing never degrades the operational product.</w:t>
      </w:r>
      <w:r>
        <w:rPr>
          <w:rFonts w:ascii="Times New Roman" w:cs="Times New Roman" w:eastAsia="Times New Roman" w:hAnsi="Times New Roman"/>
          <w:b w:val="false"/>
          <w:bCs w:val="false"/>
          <w:i w:val="false"/>
          <w:iCs w:val="false"/>
          <w:color w:val="222222"/>
          <w:sz w:val="21"/>
          <w:szCs w:val="21"/>
        </w:rPr>
        <w:t xml:space="preserve"> Gate verification, attendance recording, payments, and complaint handling all continue to function identically for a society on a lapsed or non-existent subscription; only the administrator's extended reporting surface narrows. This is a commercial choice as much as an ethical one: a society will not entrust its operational records to a platform that can hold them hostage over an unpaid invoice, and doing so would additionally mean a billing dispute could stand between a worker and their wages — which this platform exists to prevent, not enable.</w:t>
      </w:r>
    </w:p>
    <w:p>
      <w:pPr>
        <w:spacing w:after="160" w:line="276"/>
      </w:pPr>
      <w:r>
        <w:rPr>
          <w:rFonts w:ascii="Times New Roman" w:cs="Times New Roman" w:eastAsia="Times New Roman" w:hAnsi="Times New Roman"/>
          <w:b/>
          <w:bCs/>
          <w:i w:val="false"/>
          <w:iCs w:val="false"/>
          <w:color w:val="222222"/>
          <w:sz w:val="21"/>
          <w:szCs w:val="21"/>
        </w:rPr>
        <w:t xml:space="preserve">2. A convenience fee on one-day bookings.</w:t>
      </w:r>
      <w:r>
        <w:rPr>
          <w:rFonts w:ascii="Times New Roman" w:cs="Times New Roman" w:eastAsia="Times New Roman" w:hAnsi="Times New Roman"/>
          <w:b w:val="false"/>
          <w:bCs w:val="false"/>
          <w:i w:val="false"/>
          <w:iCs w:val="false"/>
          <w:color w:val="222222"/>
          <w:sz w:val="21"/>
          <w:szCs w:val="21"/>
        </w:rPr>
        <w:t xml:space="preserve"> The only genuinely per-transaction fee the platform charges, because a one-day booking is a discrete transaction with no ongoing relationship for either side to route around the platform. Structured as </w:t>
      </w:r>
      <w:r>
        <w:rPr>
          <w:rFonts w:ascii="Times New Roman" w:cs="Times New Roman" w:eastAsia="Times New Roman" w:hAnsi="Times New Roman"/>
          <w:b/>
          <w:bCs/>
          <w:i w:val="false"/>
          <w:iCs w:val="false"/>
          <w:color w:val="222222"/>
          <w:sz w:val="21"/>
          <w:szCs w:val="21"/>
        </w:rPr>
        <w:t xml:space="preserve">8% of the booking value, paid by the resident on top of the worker's quoted rate, capped at ₹40 per booking, and disclosed as its own line item before payment is confirmed</w:t>
      </w:r>
      <w:r>
        <w:rPr>
          <w:rFonts w:ascii="Times New Roman" w:cs="Times New Roman" w:eastAsia="Times New Roman" w:hAnsi="Times New Roman"/>
          <w:b w:val="false"/>
          <w:bCs w:val="false"/>
          <w:i w:val="false"/>
          <w:iCs w:val="false"/>
          <w:color w:val="222222"/>
          <w:sz w:val="21"/>
          <w:szCs w:val="21"/>
        </w:rPr>
        <w:t xml:space="preserve"> — never silently deducted from what the worker was promised, and never discovered for the first time on a receipt. Recurring salary payments carry no fee whatsoever.</w:t>
      </w:r>
    </w:p>
    <w:p>
      <w:pPr>
        <w:spacing w:after="160" w:line="276"/>
      </w:pPr>
      <w:r>
        <w:rPr>
          <w:rFonts w:ascii="Times New Roman" w:cs="Times New Roman" w:eastAsia="Times New Roman" w:hAnsi="Times New Roman"/>
          <w:b/>
          <w:bCs/>
          <w:i w:val="false"/>
          <w:iCs w:val="false"/>
          <w:color w:val="222222"/>
          <w:sz w:val="21"/>
          <w:szCs w:val="21"/>
        </w:rPr>
        <w:t xml:space="preserve">3. One-off verification and certification products</w:t>
      </w:r>
      <w:r>
        <w:rPr>
          <w:rFonts w:ascii="Times New Roman" w:cs="Times New Roman" w:eastAsia="Times New Roman" w:hAnsi="Times New Roman"/>
          <w:b w:val="false"/>
          <w:bCs w:val="false"/>
          <w:i w:val="false"/>
          <w:iCs w:val="false"/>
          <w:color w:val="222222"/>
          <w:sz w:val="21"/>
          <w:szCs w:val="21"/>
        </w:rPr>
        <w:t xml:space="preserve">, sold to the worker (often subsidised by the society) rather than bundled into ranking position: a police-verification badge (indicative price ₹250), and skills-certification badges (indicative price ₹150 per module, e.g. "Certified: elder care"). These are deliberately sold as a </w:t>
      </w:r>
      <w:r>
        <w:rPr>
          <w:rFonts w:ascii="Times New Roman" w:cs="Times New Roman" w:eastAsia="Times New Roman" w:hAnsi="Times New Roman"/>
          <w:b/>
          <w:bCs/>
          <w:i w:val="false"/>
          <w:iCs w:val="false"/>
          <w:color w:val="222222"/>
          <w:sz w:val="21"/>
          <w:szCs w:val="21"/>
        </w:rPr>
        <w:t xml:space="preserve">badge that is earned and expires</w:t>
      </w:r>
      <w:r>
        <w:rPr>
          <w:rFonts w:ascii="Times New Roman" w:cs="Times New Roman" w:eastAsia="Times New Roman" w:hAnsi="Times New Roman"/>
          <w:b w:val="false"/>
          <w:bCs w:val="false"/>
          <w:i w:val="false"/>
          <w:iCs w:val="false"/>
          <w:color w:val="222222"/>
          <w:sz w:val="21"/>
          <w:szCs w:val="21"/>
        </w:rPr>
        <w:t xml:space="preserve">, never as a boost to a worker's position in search results — the trust score residents are told to rely on when deciding who enters their home must remain something money cannot buy a position in.</w:t>
      </w:r>
    </w:p>
    <w:p>
      <w:pPr>
        <w:spacing w:after="160" w:line="276"/>
      </w:pPr>
      <w:r>
        <w:rPr>
          <w:rFonts w:ascii="Times New Roman" w:cs="Times New Roman" w:eastAsia="Times New Roman" w:hAnsi="Times New Roman"/>
          <w:b/>
          <w:bCs/>
          <w:i w:val="false"/>
          <w:iCs w:val="false"/>
          <w:color w:val="222222"/>
          <w:sz w:val="21"/>
          <w:szCs w:val="21"/>
        </w:rPr>
        <w:t xml:space="preserve">4. A bounded, disclosed featured-placement product</w:t>
      </w:r>
      <w:r>
        <w:rPr>
          <w:rFonts w:ascii="Times New Roman" w:cs="Times New Roman" w:eastAsia="Times New Roman" w:hAnsi="Times New Roman"/>
          <w:b w:val="false"/>
          <w:bCs w:val="false"/>
          <w:i w:val="false"/>
          <w:iCs w:val="false"/>
          <w:color w:val="222222"/>
          <w:sz w:val="21"/>
          <w:szCs w:val="21"/>
        </w:rPr>
        <w:t xml:space="preserve"> for workers (indicative price ₹99/month), capped at no more than one promoted result in every five shown, labelled "Promoted," and permitted to re-order a worker only </w:t>
      </w:r>
      <w:r>
        <w:rPr>
          <w:rFonts w:ascii="Times New Roman" w:cs="Times New Roman" w:eastAsia="Times New Roman" w:hAnsi="Times New Roman"/>
          <w:b/>
          <w:bCs/>
          <w:i w:val="false"/>
          <w:iCs w:val="false"/>
          <w:color w:val="222222"/>
          <w:sz w:val="21"/>
          <w:szCs w:val="21"/>
        </w:rPr>
        <w:t xml:space="preserve">within</w:t>
      </w:r>
      <w:r>
        <w:rPr>
          <w:rFonts w:ascii="Times New Roman" w:cs="Times New Roman" w:eastAsia="Times New Roman" w:hAnsi="Times New Roman"/>
          <w:b w:val="false"/>
          <w:bCs w:val="false"/>
          <w:i w:val="false"/>
          <w:iCs w:val="false"/>
          <w:color w:val="222222"/>
          <w:sz w:val="21"/>
          <w:szCs w:val="21"/>
        </w:rPr>
        <w:t xml:space="preserve"> the trust band they already qualified for on merit — never above a lower-rated worker. This is sold as a visibility product, not a trust-score product, and the underlying scoring formula in </w:t>
      </w:r>
      <w:r>
        <w:rPr>
          <w:rFonts w:ascii="Consolas" w:cs="Consolas" w:eastAsia="Consolas" w:hAnsi="Consolas"/>
          <w:b w:val="false"/>
          <w:bCs w:val="false"/>
          <w:i w:val="false"/>
          <w:iCs w:val="false"/>
          <w:color w:val="222222"/>
          <w:sz w:val="19"/>
          <w:szCs w:val="19"/>
        </w:rPr>
        <w:t xml:space="preserve">apps/hiring/scoring.py</w:t>
      </w:r>
      <w:r>
        <w:rPr>
          <w:rFonts w:ascii="Times New Roman" w:cs="Times New Roman" w:eastAsia="Times New Roman" w:hAnsi="Times New Roman"/>
          <w:b w:val="false"/>
          <w:bCs w:val="false"/>
          <w:i w:val="false"/>
          <w:iCs w:val="false"/>
          <w:color w:val="222222"/>
          <w:sz w:val="21"/>
          <w:szCs w:val="21"/>
        </w:rPr>
        <w:t xml:space="preserve"> is never a function of payment.</w:t>
      </w:r>
    </w:p>
    <w:p>
      <w:pPr>
        <w:spacing w:after="160" w:line="276"/>
      </w:pPr>
      <w:r>
        <w:rPr>
          <w:rFonts w:ascii="Times New Roman" w:cs="Times New Roman" w:eastAsia="Times New Roman" w:hAnsi="Times New Roman"/>
          <w:b/>
          <w:bCs/>
          <w:i w:val="false"/>
          <w:iCs w:val="false"/>
          <w:color w:val="222222"/>
          <w:sz w:val="21"/>
          <w:szCs w:val="21"/>
        </w:rPr>
        <w:t xml:space="preserve">5. Advertising</w:t>
      </w:r>
      <w:r>
        <w:rPr>
          <w:rFonts w:ascii="Times New Roman" w:cs="Times New Roman" w:eastAsia="Times New Roman" w:hAnsi="Times New Roman"/>
          <w:b w:val="false"/>
          <w:bCs w:val="false"/>
          <w:i w:val="false"/>
          <w:iCs w:val="false"/>
          <w:color w:val="222222"/>
          <w:sz w:val="21"/>
          <w:szCs w:val="21"/>
        </w:rPr>
        <w:t xml:space="preserve">, shown exclusively to residents and never to workers or guards, and never on any safety-, KYC-, payment-, or complaint-related screen. Modelled realistically as a late-stage, small-value revenue line (well under ₹500/month at a single-society pilot scale) rather than a runway strategy.</w:t>
      </w:r>
    </w:p>
    <w:p>
      <w:pPr>
        <w:spacing w:after="160" w:line="276"/>
      </w:pPr>
      <w:r>
        <w:rPr>
          <w:rFonts w:ascii="Times New Roman" w:cs="Times New Roman" w:eastAsia="Times New Roman" w:hAnsi="Times New Roman"/>
          <w:b/>
          <w:bCs/>
          <w:i w:val="false"/>
          <w:iCs w:val="false"/>
          <w:color w:val="222222"/>
          <w:sz w:val="21"/>
          <w:szCs w:val="21"/>
        </w:rPr>
        <w:t xml:space="preserve">6. Tipping — a revenue-neutral trust feature, not a revenue line.</w:t>
      </w:r>
      <w:r>
        <w:rPr>
          <w:rFonts w:ascii="Times New Roman" w:cs="Times New Roman" w:eastAsia="Times New Roman" w:hAnsi="Times New Roman"/>
          <w:b w:val="false"/>
          <w:bCs w:val="false"/>
          <w:i w:val="false"/>
          <w:iCs w:val="false"/>
          <w:color w:val="222222"/>
          <w:sz w:val="21"/>
          <w:szCs w:val="21"/>
        </w:rPr>
        <w:t xml:space="preserve"> Workers may be tipped a discretionary amount (₹50/₹100/₹200 presets, shown only after a five-star rating, never after a low one, never a pre-ticked default) and the platform's explicit commercial commitment is that </w:t>
      </w:r>
      <w:r>
        <w:rPr>
          <w:rFonts w:ascii="Times New Roman" w:cs="Times New Roman" w:eastAsia="Times New Roman" w:hAnsi="Times New Roman"/>
          <w:b/>
          <w:bCs/>
          <w:i w:val="false"/>
          <w:iCs w:val="false"/>
          <w:color w:val="222222"/>
          <w:sz w:val="21"/>
          <w:szCs w:val="21"/>
        </w:rPr>
        <w:t xml:space="preserve">100% of a tip reaches the worker</w:t>
      </w:r>
      <w:r>
        <w:rPr>
          <w:rFonts w:ascii="Times New Roman" w:cs="Times New Roman" w:eastAsia="Times New Roman" w:hAnsi="Times New Roman"/>
          <w:b w:val="false"/>
          <w:bCs w:val="false"/>
          <w:i w:val="false"/>
          <w:iCs w:val="false"/>
          <w:color w:val="222222"/>
          <w:sz w:val="21"/>
          <w:szCs w:val="21"/>
        </w:rPr>
        <w:t xml:space="preserve"> — any payment-gateway processing cost on a tip is absorbed by the platform and budgeted as a marketing/trust expense, not passed on or deducted. This is a small, deliberate cost the platform accepts in order to be able to make an unambiguous, checkable claim to its own workforce.</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build sequence for these revenue lines is intentional: </w:t>
      </w:r>
      <w:r>
        <w:rPr>
          <w:rFonts w:ascii="Times New Roman" w:cs="Times New Roman" w:eastAsia="Times New Roman" w:hAnsi="Times New Roman"/>
          <w:b/>
          <w:bCs/>
          <w:i w:val="false"/>
          <w:iCs w:val="false"/>
          <w:color w:val="222222"/>
          <w:sz w:val="21"/>
          <w:szCs w:val="21"/>
        </w:rPr>
        <w:t xml:space="preserve">society subscription first, then the booking convenience fee, then verification products, then advertising last</w:t>
      </w:r>
      <w:r>
        <w:rPr>
          <w:rFonts w:ascii="Times New Roman" w:cs="Times New Roman" w:eastAsia="Times New Roman" w:hAnsi="Times New Roman"/>
          <w:b w:val="false"/>
          <w:bCs w:val="false"/>
          <w:i w:val="false"/>
          <w:iCs w:val="false"/>
          <w:color w:val="222222"/>
          <w:sz w:val="21"/>
          <w:szCs w:val="21"/>
        </w:rPr>
        <w:t xml:space="preserve"> — in that order of durability, not of ease of implementation.</w:t>
      </w:r>
    </w:p>
    <w:p>
      <w:pPr>
        <w:pStyle w:val="Heading2"/>
        <w:spacing w:after="120" w:before="260"/>
      </w:pPr>
      <w:r>
        <w:rPr>
          <w:rFonts w:ascii="Times New Roman" w:cs="Times New Roman" w:eastAsia="Times New Roman" w:hAnsi="Times New Roman"/>
          <w:b/>
          <w:bCs/>
          <w:color w:val="2E74B5"/>
          <w:sz w:val="24"/>
          <w:szCs w:val="24"/>
        </w:rPr>
        <w:t xml:space="preserve">2.3 Financial Requirements</w:t>
      </w:r>
    </w:p>
    <w:p>
      <w:pPr>
        <w:spacing w:after="160" w:line="276"/>
      </w:pPr>
      <w:r>
        <w:rPr>
          <w:rFonts w:ascii="Times New Roman" w:cs="Times New Roman" w:eastAsia="Times New Roman" w:hAnsi="Times New Roman"/>
          <w:b w:val="false"/>
          <w:bCs w:val="false"/>
          <w:i w:val="false"/>
          <w:iCs w:val="false"/>
          <w:color w:val="222222"/>
          <w:sz w:val="21"/>
          <w:szCs w:val="21"/>
        </w:rPr>
        <w:t xml:space="preserve">Sathify's financial requirements are best understood across two distinct phases: the current pilot/build phase, and the phase in which usage outgrows what free infrastructure tiers can support.</w:t>
      </w:r>
    </w:p>
    <w:p>
      <w:pPr>
        <w:spacing w:after="160" w:line="276"/>
      </w:pPr>
      <w:r>
        <w:rPr>
          <w:rFonts w:ascii="Times New Roman" w:cs="Times New Roman" w:eastAsia="Times New Roman" w:hAnsi="Times New Roman"/>
          <w:b/>
          <w:bCs/>
          <w:i w:val="false"/>
          <w:iCs w:val="false"/>
          <w:color w:val="222222"/>
          <w:sz w:val="21"/>
          <w:szCs w:val="21"/>
        </w:rPr>
        <w:t xml:space="preserve">Phase 1 — Current build and pilot (the state today).</w:t>
      </w:r>
      <w:r>
        <w:rPr>
          <w:rFonts w:ascii="Times New Roman" w:cs="Times New Roman" w:eastAsia="Times New Roman" w:hAnsi="Times New Roman"/>
          <w:b w:val="false"/>
          <w:bCs w:val="false"/>
          <w:i w:val="false"/>
          <w:iCs w:val="false"/>
          <w:color w:val="222222"/>
          <w:sz w:val="21"/>
          <w:szCs w:val="21"/>
        </w:rPr>
        <w:t xml:space="preserve"> The project has been deliberately engineered to run at </w:t>
      </w:r>
      <w:r>
        <w:rPr>
          <w:rFonts w:ascii="Times New Roman" w:cs="Times New Roman" w:eastAsia="Times New Roman" w:hAnsi="Times New Roman"/>
          <w:b/>
          <w:bCs/>
          <w:i w:val="false"/>
          <w:iCs w:val="false"/>
          <w:color w:val="222222"/>
          <w:sz w:val="21"/>
          <w:szCs w:val="21"/>
        </w:rPr>
        <w:t xml:space="preserve">zero recurring cash cost</w:t>
      </w:r>
      <w:r>
        <w:rPr>
          <w:rFonts w:ascii="Times New Roman" w:cs="Times New Roman" w:eastAsia="Times New Roman" w:hAnsi="Times New Roman"/>
          <w:b w:val="false"/>
          <w:bCs w:val="false"/>
          <w:i w:val="false"/>
          <w:iCs w:val="false"/>
          <w:color w:val="222222"/>
          <w:sz w:val="21"/>
          <w:szCs w:val="21"/>
        </w:rPr>
        <w:t xml:space="preserve">, with every dependency chosen from a genuinely free tier that requires no card on file: Render's free web-service tier for API hosting, Supabase's free tier for the PostgreSQL database and file storage, Firebase's free tier for push notification delivery, Razorpay's test mode for the entire payments module (issuing no real charges), and a four-provider chain of free-tier generative-AI APIs (Google Gemini, Groq, OpenRouter, and Hugging Face Inference, tried strictly in that order) for every AI-backed feature. The human capital required to build the platform to its current state is a four-person development team, dividing ownership across the platform's twelve functional modules, contributing engineering time rather than drawing a cash salary — the appropriate framing for an academic/internship-stage venture rather than a funded company. Direct one-off cash costs incurred to date are effectively nil: no domain has been purchased for production use beyond the free </w:t>
      </w:r>
      <w:r>
        <w:rPr>
          <w:rFonts w:ascii="Consolas" w:cs="Consolas" w:eastAsia="Consolas" w:hAnsi="Consolas"/>
          <w:b w:val="false"/>
          <w:bCs w:val="false"/>
          <w:i w:val="false"/>
          <w:iCs w:val="false"/>
          <w:color w:val="222222"/>
          <w:sz w:val="19"/>
          <w:szCs w:val="19"/>
        </w:rPr>
        <w:t xml:space="preserve">onrender.com</w:t>
      </w:r>
      <w:r>
        <w:rPr>
          <w:rFonts w:ascii="Times New Roman" w:cs="Times New Roman" w:eastAsia="Times New Roman" w:hAnsi="Times New Roman"/>
          <w:b w:val="false"/>
          <w:bCs w:val="false"/>
          <w:i w:val="false"/>
          <w:iCs w:val="false"/>
          <w:color w:val="222222"/>
          <w:sz w:val="21"/>
          <w:szCs w:val="21"/>
        </w:rPr>
        <w:t xml:space="preserve"> and </w:t>
      </w:r>
      <w:r>
        <w:rPr>
          <w:rFonts w:ascii="Consolas" w:cs="Consolas" w:eastAsia="Consolas" w:hAnsi="Consolas"/>
          <w:b w:val="false"/>
          <w:bCs w:val="false"/>
          <w:i w:val="false"/>
          <w:iCs w:val="false"/>
          <w:color w:val="222222"/>
          <w:sz w:val="19"/>
          <w:szCs w:val="19"/>
        </w:rPr>
        <w:t xml:space="preserve">supabase.co</w:t>
      </w:r>
      <w:r>
        <w:rPr>
          <w:rFonts w:ascii="Times New Roman" w:cs="Times New Roman" w:eastAsia="Times New Roman" w:hAnsi="Times New Roman"/>
          <w:b w:val="false"/>
          <w:bCs w:val="false"/>
          <w:i w:val="false"/>
          <w:iCs w:val="false"/>
          <w:color w:val="222222"/>
          <w:sz w:val="21"/>
          <w:szCs w:val="21"/>
        </w:rPr>
        <w:t xml:space="preserve"> subdomains currently in use, and no paid developer-account fees (Google Play, Apple Developer) have yet been incurred because the application has not been submitted to a public app store.</w:t>
      </w:r>
    </w:p>
    <w:p>
      <w:pPr>
        <w:spacing w:after="160" w:line="276"/>
      </w:pPr>
      <w:r>
        <w:rPr>
          <w:rFonts w:ascii="Times New Roman" w:cs="Times New Roman" w:eastAsia="Times New Roman" w:hAnsi="Times New Roman"/>
          <w:b/>
          <w:bCs/>
          <w:i w:val="false"/>
          <w:iCs w:val="false"/>
          <w:color w:val="222222"/>
          <w:sz w:val="21"/>
          <w:szCs w:val="21"/>
        </w:rPr>
        <w:t xml:space="preserve">Phase 2 — Scaling past the free tier.</w:t>
      </w:r>
      <w:r>
        <w:rPr>
          <w:rFonts w:ascii="Times New Roman" w:cs="Times New Roman" w:eastAsia="Times New Roman" w:hAnsi="Times New Roman"/>
          <w:b w:val="false"/>
          <w:bCs w:val="false"/>
          <w:i w:val="false"/>
          <w:iCs w:val="false"/>
          <w:color w:val="222222"/>
          <w:sz w:val="21"/>
          <w:szCs w:val="21"/>
        </w:rPr>
        <w:t xml:space="preserve"> The free-tier architecture is a deliberate, load-bearing decision (see Section 5.7), but it has known, documented ceilings, and a financial plan for outgrowing them is a real requirement, not an afterthought: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3360"/>
        <w:gridCol w:w="3360"/>
        <w:gridCol w:w="3360"/>
      </w:tblGrid>
      <w:tr>
        <w:trPr>
          <w:tblHeader/>
        </w:trPr>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Cost line</w:t>
            </w:r>
          </w:p>
        </w:tc>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Trigger</w:t>
            </w:r>
          </w:p>
        </w:tc>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Indicative monthly cost</w:t>
            </w:r>
          </w:p>
        </w:tc>
      </w:tr>
      <w:tr>
        <w:trPr>
          <w:tblHeader w:val="false"/>
        </w:trPr>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Render — paid web service, always-on, no cold start</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Once the free service's 750 account-wide instance-hours/month or its 512 MB RAM ceiling becomes limiting, or once a 50-second cold start after 15 minutes' inactivity is no longer acceptable for gate-verification latency</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From </w:t>
            </w:r>
            <w:r>
              <w:rPr>
                <w:rFonts w:ascii="Times New Roman" w:cs="Times New Roman" w:eastAsia="Times New Roman" w:hAnsi="Times New Roman"/>
                <w:b/>
                <w:bCs/>
                <w:i w:val="false"/>
                <w:iCs w:val="false"/>
                <w:color w:val="222222"/>
                <w:sz w:val="20"/>
                <w:szCs w:val="20"/>
              </w:rPr>
              <w:t xml:space="preserve">US $7/month</w:t>
            </w:r>
            <w:r>
              <w:rPr>
                <w:rFonts w:ascii="Times New Roman" w:cs="Times New Roman" w:eastAsia="Times New Roman" w:hAnsi="Times New Roman"/>
                <w:b w:val="false"/>
                <w:bCs w:val="false"/>
                <w:i w:val="false"/>
                <w:iCs w:val="false"/>
                <w:color w:val="222222"/>
                <w:sz w:val="20"/>
                <w:szCs w:val="20"/>
              </w:rPr>
              <w:t xml:space="preserve"> for an always-on service, on top of a </w:t>
            </w:r>
            <w:r>
              <w:rPr>
                <w:rFonts w:ascii="Times New Roman" w:cs="Times New Roman" w:eastAsia="Times New Roman" w:hAnsi="Times New Roman"/>
                <w:b/>
                <w:bCs/>
                <w:i w:val="false"/>
                <w:iCs w:val="false"/>
                <w:color w:val="222222"/>
                <w:sz w:val="20"/>
                <w:szCs w:val="20"/>
              </w:rPr>
              <w:t xml:space="preserve">US $25/month</w:t>
            </w:r>
            <w:r>
              <w:rPr>
                <w:rFonts w:ascii="Times New Roman" w:cs="Times New Roman" w:eastAsia="Times New Roman" w:hAnsi="Times New Roman"/>
                <w:b w:val="false"/>
                <w:bCs w:val="false"/>
                <w:i w:val="false"/>
                <w:iCs w:val="false"/>
                <w:color w:val="222222"/>
                <w:sz w:val="20"/>
                <w:szCs w:val="20"/>
              </w:rPr>
              <w:t xml:space="preserve"> flat workspace fee once the account moves off the free workspace tier ([Render pricing](https://render.com/docs/new-workspace-plans))</w:t>
            </w:r>
          </w:p>
        </w:tc>
      </w:tr>
      <w:tr>
        <w:trPr>
          <w:tblHeader w:val="false"/>
        </w:trPr>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Supabase — Pro database and storage plan</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Once the 500 MB database or 1 GB storage free ceiling, or the 7-day auto-pause on inactive free projects, becomes limiting</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US $25/month</w:t>
            </w:r>
            <w:r>
              <w:rPr>
                <w:rFonts w:ascii="Times New Roman" w:cs="Times New Roman" w:eastAsia="Times New Roman" w:hAnsi="Times New Roman"/>
                <w:b w:val="false"/>
                <w:bCs w:val="false"/>
                <w:i w:val="false"/>
                <w:iCs w:val="false"/>
                <w:color w:val="222222"/>
                <w:sz w:val="20"/>
                <w:szCs w:val="20"/>
              </w:rPr>
              <w:t xml:space="preserve"> per project, which bundles a compute credit sufficient for light-to-moderate early-stage load; realistic usage-based overage at meaningful multi-society scale (10,000–100,000 end users) typically lands between </w:t>
            </w:r>
            <w:r>
              <w:rPr>
                <w:rFonts w:ascii="Times New Roman" w:cs="Times New Roman" w:eastAsia="Times New Roman" w:hAnsi="Times New Roman"/>
                <w:b/>
                <w:bCs/>
                <w:i w:val="false"/>
                <w:iCs w:val="false"/>
                <w:color w:val="222222"/>
                <w:sz w:val="20"/>
                <w:szCs w:val="20"/>
              </w:rPr>
              <w:t xml:space="preserve">US $25–500/month</w:t>
            </w:r>
            <w:r>
              <w:rPr>
                <w:rFonts w:ascii="Times New Roman" w:cs="Times New Roman" w:eastAsia="Times New Roman" w:hAnsi="Times New Roman"/>
                <w:b w:val="false"/>
                <w:bCs w:val="false"/>
                <w:i w:val="false"/>
                <w:iCs w:val="false"/>
                <w:color w:val="222222"/>
                <w:sz w:val="20"/>
                <w:szCs w:val="20"/>
              </w:rPr>
              <w:t xml:space="preserve"> ([Supabase pricing](https://www.jetadmin.io/blog/supabase-pricing-2026-guide-to-plans-limits-and-real-world-costs/))</w:t>
            </w:r>
          </w:p>
        </w:tc>
      </w:tr>
      <w:tr>
        <w:trPr>
          <w:tblHeader w:val="false"/>
        </w:trPr>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 dedicated OCR/face-verification microservice (e.g. Hugging Face Spaces or a small always-on VM)</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Once the 512 MB free web-service RAM ceiling makes it impossible to run PaddleOCR and DeepFace in the same process as the main API</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Low, typically </w:t>
            </w:r>
            <w:r>
              <w:rPr>
                <w:rFonts w:ascii="Times New Roman" w:cs="Times New Roman" w:eastAsia="Times New Roman" w:hAnsi="Times New Roman"/>
                <w:b/>
                <w:bCs/>
                <w:i w:val="false"/>
                <w:iCs w:val="false"/>
                <w:color w:val="222222"/>
                <w:sz w:val="20"/>
                <w:szCs w:val="20"/>
              </w:rPr>
              <w:t xml:space="preserve">US $0–15/month</w:t>
            </w:r>
            <w:r>
              <w:rPr>
                <w:rFonts w:ascii="Times New Roman" w:cs="Times New Roman" w:eastAsia="Times New Roman" w:hAnsi="Times New Roman"/>
                <w:b w:val="false"/>
                <w:bCs w:val="false"/>
                <w:i w:val="false"/>
                <w:iCs w:val="false"/>
                <w:color w:val="222222"/>
                <w:sz w:val="20"/>
                <w:szCs w:val="20"/>
              </w:rPr>
              <w:t xml:space="preserve"> on a small always-on CPU instance, scaling with document/verification volume</w:t>
            </w:r>
          </w:p>
        </w:tc>
      </w:tr>
      <w:tr>
        <w:trPr>
          <w:tblHeader w:val="false"/>
        </w:trPr>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Razorpay live-mode payment processing</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The moment the platform moves off test mode into real transactions</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No fixed fee; </w:t>
            </w:r>
            <w:r>
              <w:rPr>
                <w:rFonts w:ascii="Times New Roman" w:cs="Times New Roman" w:eastAsia="Times New Roman" w:hAnsi="Times New Roman"/>
                <w:b/>
                <w:bCs/>
                <w:i w:val="false"/>
                <w:iCs w:val="false"/>
                <w:color w:val="222222"/>
                <w:sz w:val="20"/>
                <w:szCs w:val="20"/>
              </w:rPr>
              <w:t xml:space="preserve">approximately 2% + GST per transaction</w:t>
            </w:r>
            <w:r>
              <w:rPr>
                <w:rFonts w:ascii="Times New Roman" w:cs="Times New Roman" w:eastAsia="Times New Roman" w:hAnsi="Times New Roman"/>
                <w:b w:val="false"/>
                <w:bCs w:val="false"/>
                <w:i w:val="false"/>
                <w:iCs w:val="false"/>
                <w:color w:val="222222"/>
                <w:sz w:val="20"/>
                <w:szCs w:val="20"/>
              </w:rPr>
              <w:t xml:space="preserve">, paid by the platform on the flows it processes (never deducted from a worker's recurring salary, per the fee-exemption rules in Section 2.2)</w:t>
            </w:r>
          </w:p>
        </w:tc>
      </w:tr>
      <w:tr>
        <w:trPr>
          <w:tblHeader w:val="false"/>
        </w:trPr>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SMS fallback gateway (MSG91 / Textlocal / Fast2SMS or equivalent)</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Once push-notification delivery alone is judged insufficient for safety-critical alerts</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Per-message, typically low single-digit paise to a few rupees per SMS depending on volume and route</w:t>
            </w:r>
          </w:p>
        </w:tc>
      </w:tr>
      <w:tr>
        <w:trPr>
          <w:tblHeader w:val="false"/>
        </w:trPr>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Google Play Developer registration</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Before public Android distribution</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US $25, one-time</w:t>
            </w:r>
          </w:p>
        </w:tc>
      </w:tr>
      <w:tr>
        <w:trPr>
          <w:tblHeader w:val="false"/>
        </w:trPr>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Apple Developer Program</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Only if and when an iOS release is pursued (see Section 6)</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US $99/year</w:t>
            </w:r>
          </w:p>
        </w:tc>
      </w:tr>
      <w:tr>
        <w:trPr>
          <w:tblHeader w:val="false"/>
        </w:trPr>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 production domain and TLS certificate</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Before moving off the free </w:t>
            </w:r>
            <w:r>
              <w:rPr>
                <w:rFonts w:ascii="Consolas" w:cs="Consolas" w:eastAsia="Consolas" w:hAnsi="Consolas"/>
                <w:b w:val="false"/>
                <w:bCs w:val="false"/>
                <w:i w:val="false"/>
                <w:iCs w:val="false"/>
                <w:color w:val="222222"/>
                <w:sz w:val="18"/>
                <w:szCs w:val="18"/>
              </w:rPr>
              <w:t xml:space="preserve">onrender.com</w:t>
            </w:r>
            <w:r>
              <w:rPr>
                <w:rFonts w:ascii="Times New Roman" w:cs="Times New Roman" w:eastAsia="Times New Roman" w:hAnsi="Times New Roman"/>
                <w:b w:val="false"/>
                <w:bCs w:val="false"/>
                <w:i w:val="false"/>
                <w:iCs w:val="false"/>
                <w:color w:val="222222"/>
                <w:sz w:val="20"/>
                <w:szCs w:val="20"/>
              </w:rPr>
              <w:t xml:space="preserve">/</w:t>
            </w:r>
            <w:r>
              <w:rPr>
                <w:rFonts w:ascii="Consolas" w:cs="Consolas" w:eastAsia="Consolas" w:hAnsi="Consolas"/>
                <w:b w:val="false"/>
                <w:bCs w:val="false"/>
                <w:i w:val="false"/>
                <w:iCs w:val="false"/>
                <w:color w:val="222222"/>
                <w:sz w:val="18"/>
                <w:szCs w:val="18"/>
              </w:rPr>
              <w:t xml:space="preserve">supabase.co</w:t>
            </w:r>
            <w:r>
              <w:rPr>
                <w:rFonts w:ascii="Times New Roman" w:cs="Times New Roman" w:eastAsia="Times New Roman" w:hAnsi="Times New Roman"/>
                <w:b w:val="false"/>
                <w:bCs w:val="false"/>
                <w:i w:val="false"/>
                <w:iCs w:val="false"/>
                <w:color w:val="222222"/>
                <w:sz w:val="20"/>
                <w:szCs w:val="20"/>
              </w:rPr>
              <w:t xml:space="preserve"> subdomains for a public launch</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Typically </w:t>
            </w:r>
            <w:r>
              <w:rPr>
                <w:rFonts w:ascii="Times New Roman" w:cs="Times New Roman" w:eastAsia="Times New Roman" w:hAnsi="Times New Roman"/>
                <w:b/>
                <w:bCs/>
                <w:i w:val="false"/>
                <w:iCs w:val="false"/>
                <w:color w:val="222222"/>
                <w:sz w:val="20"/>
                <w:szCs w:val="20"/>
              </w:rPr>
              <w:t xml:space="preserve">₹800–1,500/year</w:t>
            </w:r>
            <w:r>
              <w:rPr>
                <w:rFonts w:ascii="Times New Roman" w:cs="Times New Roman" w:eastAsia="Times New Roman" w:hAnsi="Times New Roman"/>
                <w:b w:val="false"/>
                <w:bCs w:val="false"/>
                <w:i w:val="false"/>
                <w:iCs w:val="false"/>
                <w:color w:val="222222"/>
                <w:sz w:val="20"/>
                <w:szCs w:val="20"/>
              </w:rPr>
              <w:t xml:space="preserve"> for an </w:t>
            </w:r>
            <w:r>
              <w:rPr>
                <w:rFonts w:ascii="Consolas" w:cs="Consolas" w:eastAsia="Consolas" w:hAnsi="Consolas"/>
                <w:b w:val="false"/>
                <w:bCs w:val="false"/>
                <w:i w:val="false"/>
                <w:iCs w:val="false"/>
                <w:color w:val="222222"/>
                <w:sz w:val="18"/>
                <w:szCs w:val="18"/>
              </w:rPr>
              <w:t xml:space="preserve">.in</w:t>
            </w:r>
            <w:r>
              <w:rPr>
                <w:rFonts w:ascii="Times New Roman" w:cs="Times New Roman" w:eastAsia="Times New Roman" w:hAnsi="Times New Roman"/>
                <w:b w:val="false"/>
                <w:bCs w:val="false"/>
                <w:i w:val="false"/>
                <w:iCs w:val="false"/>
                <w:color w:val="222222"/>
                <w:sz w:val="20"/>
                <w:szCs w:val="20"/>
              </w:rPr>
              <w:t xml:space="preserve"> or </w:t>
            </w:r>
            <w:r>
              <w:rPr>
                <w:rFonts w:ascii="Consolas" w:cs="Consolas" w:eastAsia="Consolas" w:hAnsi="Consolas"/>
                <w:b w:val="false"/>
                <w:bCs w:val="false"/>
                <w:i w:val="false"/>
                <w:iCs w:val="false"/>
                <w:color w:val="222222"/>
                <w:sz w:val="18"/>
                <w:szCs w:val="18"/>
              </w:rPr>
              <w:t xml:space="preserve">.com</w:t>
            </w:r>
            <w:r>
              <w:rPr>
                <w:rFonts w:ascii="Times New Roman" w:cs="Times New Roman" w:eastAsia="Times New Roman" w:hAnsi="Times New Roman"/>
                <w:b w:val="false"/>
                <w:bCs w:val="false"/>
                <w:i w:val="false"/>
                <w:iCs w:val="false"/>
                <w:color w:val="222222"/>
                <w:sz w:val="20"/>
                <w:szCs w:val="20"/>
              </w:rPr>
              <w:t xml:space="preserve"> domain; TLS is free via the hosting platform</w:t>
            </w:r>
          </w:p>
        </w:tc>
      </w:tr>
    </w:tbl>
    <w:p>
      <w:pPr>
        <w:spacing w:after="200"/>
      </w:pPr>
    </w:p>
    <w:p>
      <w:pPr>
        <w:spacing w:after="160" w:line="276"/>
      </w:pPr>
      <w:r>
        <w:rPr>
          <w:rFonts w:ascii="Times New Roman" w:cs="Times New Roman" w:eastAsia="Times New Roman" w:hAnsi="Times New Roman"/>
          <w:b w:val="false"/>
          <w:bCs w:val="false"/>
          <w:i w:val="false"/>
          <w:iCs w:val="false"/>
          <w:color w:val="222222"/>
          <w:sz w:val="21"/>
          <w:szCs w:val="21"/>
        </w:rPr>
        <w:t xml:space="preserve">None of these figures represent committed spend today; they are presented as the realistic, sourced cost of the next stage of growth, so that a decision to move a single society off the free tier is made with an accurate number in hand rather than a guess. Pricing for third-party services changes; the figures above reflect published rates at the time of writing and should be re-verified before being relied upon for a funding or budgeting decision.</w:t>
      </w:r>
    </w:p>
    <w:p>
      <w:pPr>
        <w:spacing w:after="160" w:line="276"/>
      </w:pPr>
      <w:r>
        <w:rPr>
          <w:rFonts w:ascii="Times New Roman" w:cs="Times New Roman" w:eastAsia="Times New Roman" w:hAnsi="Times New Roman"/>
          <w:b/>
          <w:bCs/>
          <w:i w:val="false"/>
          <w:iCs w:val="false"/>
          <w:color w:val="222222"/>
          <w:sz w:val="21"/>
          <w:szCs w:val="21"/>
        </w:rPr>
        <w:t xml:space="preserve">Team and operating cost, going forward.</w:t>
      </w:r>
      <w:r>
        <w:rPr>
          <w:rFonts w:ascii="Times New Roman" w:cs="Times New Roman" w:eastAsia="Times New Roman" w:hAnsi="Times New Roman"/>
          <w:b w:val="false"/>
          <w:bCs w:val="false"/>
          <w:i w:val="false"/>
          <w:iCs w:val="false"/>
          <w:color w:val="222222"/>
          <w:sz w:val="21"/>
          <w:szCs w:val="21"/>
        </w:rPr>
        <w:t xml:space="preserve"> Beyond infrastructure, the platform's primary ongoing cost driver, once it moves past a volunteer/academic team, is engineering and operations headcount — nominally, continued ownership of the same twelve functional modules, a part-time role for society-side sales and onboarding support (given the business model's reliance on manually selling the first paying society per the sequencing in Section 2.2), and a lightweight customer-support function for worker and resident issues that escalate past the in-app complaint system.</w:t>
      </w:r>
    </w:p>
    <w:p>
      <w:pPr>
        <w:pStyle w:val="Heading2"/>
        <w:spacing w:after="120" w:before="260"/>
      </w:pPr>
      <w:r>
        <w:rPr>
          <w:rFonts w:ascii="Times New Roman" w:cs="Times New Roman" w:eastAsia="Times New Roman" w:hAnsi="Times New Roman"/>
          <w:b/>
          <w:bCs/>
          <w:color w:val="2E74B5"/>
          <w:sz w:val="24"/>
          <w:szCs w:val="24"/>
        </w:rPr>
        <w:t xml:space="preserve">2.4 Future Financial Scope &amp; Projections</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financial model is deliberately validated against a </w:t>
      </w:r>
      <w:r>
        <w:rPr>
          <w:rFonts w:ascii="Times New Roman" w:cs="Times New Roman" w:eastAsia="Times New Roman" w:hAnsi="Times New Roman"/>
          <w:b/>
          <w:bCs/>
          <w:i w:val="false"/>
          <w:iCs w:val="false"/>
          <w:color w:val="222222"/>
          <w:sz w:val="21"/>
          <w:szCs w:val="21"/>
        </w:rPr>
        <w:t xml:space="preserve">single society</w:t>
      </w:r>
      <w:r>
        <w:rPr>
          <w:rFonts w:ascii="Times New Roman" w:cs="Times New Roman" w:eastAsia="Times New Roman" w:hAnsi="Times New Roman"/>
          <w:b w:val="false"/>
          <w:bCs w:val="false"/>
          <w:i w:val="false"/>
          <w:iCs w:val="false"/>
          <w:color w:val="222222"/>
          <w:sz w:val="21"/>
          <w:szCs w:val="21"/>
        </w:rPr>
        <w:t xml:space="preserve">, because the argument that matters commercially is not "this can eventually be large" but "this stops losing money at the very first sale." Modelled twelve months into a single 200-flat society's adoption at the Standard tier:</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5040"/>
        <w:gridCol w:w="5040"/>
      </w:tblGrid>
      <w:tr>
        <w:trPr>
          <w:tblHeader/>
        </w:trPr>
        <w:tc>
          <w:tcPr>
            <w:tcW w:type="dxa" w:w="504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Revenue line</w:t>
            </w:r>
          </w:p>
        </w:tc>
        <w:tc>
          <w:tcPr>
            <w:tcW w:type="dxa" w:w="504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Monthly (indicative)</w:t>
            </w:r>
          </w:p>
        </w:tc>
      </w:tr>
      <w:tr>
        <w:trPr>
          <w:tblHeader w:val="false"/>
        </w:trPr>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Society subscription (Standard)</w:t>
            </w:r>
          </w:p>
        </w:tc>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₹1,500</w:t>
            </w:r>
          </w:p>
        </w:tc>
      </w:tr>
      <w:tr>
        <w:trPr>
          <w:tblHeader w:val="false"/>
        </w:trPr>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~60 one-day bookings per month × ~₹28 average convenience fee</w:t>
            </w:r>
          </w:p>
        </w:tc>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₹1,680</w:t>
            </w:r>
          </w:p>
        </w:tc>
      </w:tr>
      <w:tr>
        <w:trPr>
          <w:tblHeader w:val="false"/>
        </w:trPr>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~4 verification badges sold per month</w:t>
            </w:r>
          </w:p>
        </w:tc>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₹1,000</w:t>
            </w:r>
          </w:p>
        </w:tc>
      </w:tr>
      <w:tr>
        <w:trPr>
          <w:tblHeader w:val="false"/>
        </w:trPr>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Advertising (at ~180 active residents)</w:t>
            </w:r>
          </w:p>
        </w:tc>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₹300</w:t>
            </w:r>
          </w:p>
        </w:tc>
      </w:tr>
      <w:tr>
        <w:trPr>
          <w:tblHeader w:val="false"/>
        </w:trPr>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Total, per society, per month</w:t>
            </w:r>
          </w:p>
        </w:tc>
        <w:tc>
          <w:tcPr>
            <w:tcW w:type="dxa" w:w="504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 ₹4,480</w:t>
            </w:r>
          </w:p>
        </w:tc>
      </w:tr>
      <w:tr>
        <w:trPr>
          <w:tblHeader w:val="false"/>
        </w:trPr>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iCs/>
                <w:color w:val="222222"/>
                <w:sz w:val="20"/>
                <w:szCs w:val="20"/>
              </w:rPr>
              <w:t xml:space="preserve">(Memo: tips processed)</w:t>
            </w:r>
          </w:p>
        </w:tc>
        <w:tc>
          <w:tcPr>
            <w:tcW w:type="dxa" w:w="504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iCs/>
                <w:color w:val="222222"/>
                <w:sz w:val="20"/>
                <w:szCs w:val="20"/>
              </w:rPr>
              <w:t xml:space="preserve">₹12,000 processed → ₹0 platform revenue, by design</w:t>
            </w:r>
          </w:p>
        </w:tc>
      </w:tr>
    </w:tbl>
    <w:p>
      <w:pPr>
        <w:spacing w:after="200"/>
      </w:pPr>
    </w:p>
    <w:p>
      <w:pPr>
        <w:spacing w:after="160" w:line="276"/>
      </w:pPr>
      <w:r>
        <w:rPr>
          <w:rFonts w:ascii="Times New Roman" w:cs="Times New Roman" w:eastAsia="Times New Roman" w:hAnsi="Times New Roman"/>
          <w:b w:val="false"/>
          <w:bCs w:val="false"/>
          <w:i w:val="false"/>
          <w:iCs w:val="false"/>
          <w:color w:val="222222"/>
          <w:sz w:val="21"/>
          <w:szCs w:val="21"/>
        </w:rPr>
        <w:t xml:space="preserve">Against this, indicative infrastructure cost for the same single-society scale is roughly </w:t>
      </w:r>
      <w:r>
        <w:rPr>
          <w:rFonts w:ascii="Times New Roman" w:cs="Times New Roman" w:eastAsia="Times New Roman" w:hAnsi="Times New Roman"/>
          <w:b/>
          <w:bCs/>
          <w:i w:val="false"/>
          <w:iCs w:val="false"/>
          <w:color w:val="222222"/>
          <w:sz w:val="21"/>
          <w:szCs w:val="21"/>
        </w:rPr>
        <w:t xml:space="preserve">₹600/month</w:t>
      </w:r>
      <w:r>
        <w:rPr>
          <w:rFonts w:ascii="Times New Roman" w:cs="Times New Roman" w:eastAsia="Times New Roman" w:hAnsi="Times New Roman"/>
          <w:b w:val="false"/>
          <w:bCs w:val="false"/>
          <w:i w:val="false"/>
          <w:iCs w:val="false"/>
          <w:color w:val="222222"/>
          <w:sz w:val="21"/>
          <w:szCs w:val="21"/>
        </w:rPr>
        <w:t xml:space="preserve"> on the paid tiers described in Section 2.3 — meaning </w:t>
      </w:r>
      <w:r>
        <w:rPr>
          <w:rFonts w:ascii="Times New Roman" w:cs="Times New Roman" w:eastAsia="Times New Roman" w:hAnsi="Times New Roman"/>
          <w:b/>
          <w:bCs/>
          <w:i w:val="false"/>
          <w:iCs w:val="false"/>
          <w:color w:val="222222"/>
          <w:sz w:val="21"/>
          <w:szCs w:val="21"/>
        </w:rPr>
        <w:t xml:space="preserve">one paying society already covers the platform's running costs with a healthy margin</w:t>
      </w:r>
      <w:r>
        <w:rPr>
          <w:rFonts w:ascii="Times New Roman" w:cs="Times New Roman" w:eastAsia="Times New Roman" w:hAnsi="Times New Roman"/>
          <w:b w:val="false"/>
          <w:bCs w:val="false"/>
          <w:i w:val="false"/>
          <w:iCs w:val="false"/>
          <w:color w:val="222222"/>
          <w:sz w:val="21"/>
          <w:szCs w:val="21"/>
        </w:rPr>
        <w:t xml:space="preserve">, before any second society is sold. This is the number the financial strategy is built around: not a projection of eventual scale, but proof that the unit economics of a single sale are sound, which de-risks every sale after the first.</w:t>
      </w:r>
    </w:p>
    <w:p>
      <w:pPr>
        <w:spacing w:after="160" w:line="276"/>
      </w:pPr>
      <w:r>
        <w:rPr>
          <w:rFonts w:ascii="Times New Roman" w:cs="Times New Roman" w:eastAsia="Times New Roman" w:hAnsi="Times New Roman"/>
          <w:b w:val="false"/>
          <w:bCs w:val="false"/>
          <w:i w:val="false"/>
          <w:iCs w:val="false"/>
          <w:color w:val="222222"/>
          <w:sz w:val="21"/>
          <w:szCs w:val="21"/>
        </w:rPr>
        <w:t xml:space="preserve">Longer-term financial scope follows a straightforward multiplication of that single-society unit economics across a growing base of societies, layered with the additional, currently-unbuilt revenue opportunities identified in Section 6 (insurance-linked products, a digital salary-history record usable for loan-eligibility assessment, and expanded verification products) — each of which extends the same principle of monetising a durable, non-disintermediable service rather than a one-time match. No specific multi-year revenue target is asserted in this document; the platform's financial planning is deliberately anchored to proving and then repeating a sound single-society unit economic, rather than to a top-down growth curve.</w:t>
      </w:r>
    </w:p>
    <w:p>
      <w:pPr>
        <w:pStyle w:val="Heading2"/>
        <w:spacing w:after="120" w:before="260"/>
      </w:pPr>
      <w:r>
        <w:rPr>
          <w:rFonts w:ascii="Times New Roman" w:cs="Times New Roman" w:eastAsia="Times New Roman" w:hAnsi="Times New Roman"/>
          <w:b/>
          <w:bCs/>
          <w:color w:val="2E74B5"/>
          <w:sz w:val="24"/>
          <w:szCs w:val="24"/>
        </w:rPr>
        <w:t xml:space="preserve">2.5 Business Expectations &amp; KPIs</w:t>
      </w:r>
    </w:p>
    <w:p>
      <w:pPr>
        <w:spacing w:after="160" w:line="276"/>
      </w:pPr>
      <w:r>
        <w:rPr>
          <w:rFonts w:ascii="Times New Roman" w:cs="Times New Roman" w:eastAsia="Times New Roman" w:hAnsi="Times New Roman"/>
          <w:b w:val="false"/>
          <w:bCs w:val="false"/>
          <w:i w:val="false"/>
          <w:iCs w:val="false"/>
          <w:color w:val="222222"/>
          <w:sz w:val="21"/>
          <w:szCs w:val="21"/>
        </w:rPr>
        <w:t xml:space="preserve">Success for Sathify is measured across four dimensions, each with concrete, trackable indicators already representable in the platform's existing data model:</w:t>
      </w:r>
    </w:p>
    <w:p>
      <w:pPr>
        <w:spacing w:after="160" w:line="276"/>
      </w:pPr>
      <w:r>
        <w:rPr>
          <w:rFonts w:ascii="Times New Roman" w:cs="Times New Roman" w:eastAsia="Times New Roman" w:hAnsi="Times New Roman"/>
          <w:b/>
          <w:bCs/>
          <w:i w:val="false"/>
          <w:iCs w:val="false"/>
          <w:color w:val="222222"/>
          <w:sz w:val="21"/>
          <w:szCs w:val="21"/>
        </w:rPr>
        <w:t xml:space="preserve">Adoption and activation</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Number of societies registered and verified (</w:t>
      </w:r>
      <w:r>
        <w:rPr>
          <w:rFonts w:ascii="Consolas" w:cs="Consolas" w:eastAsia="Consolas" w:hAnsi="Consolas"/>
          <w:b w:val="false"/>
          <w:bCs w:val="false"/>
          <w:i w:val="false"/>
          <w:iCs w:val="false"/>
          <w:color w:val="222222"/>
          <w:sz w:val="19"/>
          <w:szCs w:val="19"/>
        </w:rPr>
        <w:t xml:space="preserve">Society.status = ACTIVE</w:t>
      </w:r>
      <w:r>
        <w:rPr>
          <w:rFonts w:ascii="Times New Roman" w:cs="Times New Roman" w:eastAsia="Times New Roman" w:hAnsi="Times New Roman"/>
          <w:b w:val="false"/>
          <w:bCs w:val="false"/>
          <w:i w:val="false"/>
          <w:iCs w:val="false"/>
          <w:color w:val="222222"/>
          <w:sz w:val="21"/>
          <w:szCs w:val="21"/>
        </w:rPr>
        <w:t xml:space="preserv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Percentage of a society's declared flats with at least one approved resident account (</w:t>
      </w:r>
      <w:r>
        <w:rPr>
          <w:rFonts w:ascii="Consolas" w:cs="Consolas" w:eastAsia="Consolas" w:hAnsi="Consolas"/>
          <w:b w:val="false"/>
          <w:bCs w:val="false"/>
          <w:i w:val="false"/>
          <w:iCs w:val="false"/>
          <w:color w:val="222222"/>
          <w:sz w:val="19"/>
          <w:szCs w:val="19"/>
        </w:rPr>
        <w:t xml:space="preserve">Society.mapped_flat_count</w:t>
      </w:r>
      <w:r>
        <w:rPr>
          <w:rFonts w:ascii="Times New Roman" w:cs="Times New Roman" w:eastAsia="Times New Roman" w:hAnsi="Times New Roman"/>
          <w:b w:val="false"/>
          <w:bCs w:val="false"/>
          <w:i w:val="false"/>
          <w:iCs w:val="false"/>
          <w:color w:val="222222"/>
          <w:sz w:val="21"/>
          <w:szCs w:val="21"/>
        </w:rPr>
        <w:t xml:space="preserve"> against </w:t>
      </w:r>
      <w:r>
        <w:rPr>
          <w:rFonts w:ascii="Consolas" w:cs="Consolas" w:eastAsia="Consolas" w:hAnsi="Consolas"/>
          <w:b w:val="false"/>
          <w:bCs w:val="false"/>
          <w:i w:val="false"/>
          <w:iCs w:val="false"/>
          <w:color w:val="222222"/>
          <w:sz w:val="19"/>
          <w:szCs w:val="19"/>
        </w:rPr>
        <w:t xml:space="preserve">total_flats</w:t>
      </w:r>
      <w:r>
        <w:rPr>
          <w:rFonts w:ascii="Times New Roman" w:cs="Times New Roman" w:eastAsia="Times New Roman" w:hAnsi="Times New Roman"/>
          <w:b w:val="false"/>
          <w:bCs w:val="false"/>
          <w:i w:val="false"/>
          <w:iCs w:val="false"/>
          <w:color w:val="222222"/>
          <w:sz w:val="21"/>
          <w:szCs w:val="21"/>
        </w:rPr>
        <w:t xml:space="preserv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Percentage of a society's domestic workforce that has completed KYC verification and holds an active </w:t>
      </w:r>
      <w:r>
        <w:rPr>
          <w:rFonts w:ascii="Consolas" w:cs="Consolas" w:eastAsia="Consolas" w:hAnsi="Consolas"/>
          <w:b w:val="false"/>
          <w:bCs w:val="false"/>
          <w:i w:val="false"/>
          <w:iCs w:val="false"/>
          <w:color w:val="222222"/>
          <w:sz w:val="19"/>
          <w:szCs w:val="19"/>
        </w:rPr>
        <w:t xml:space="preserve">WorkerProfile</w:t>
      </w:r>
      <w:r>
        <w:rPr>
          <w:rFonts w:ascii="Times New Roman" w:cs="Times New Roman" w:eastAsia="Times New Roman" w:hAnsi="Times New Roman"/>
          <w:b w:val="false"/>
          <w:bCs w:val="false"/>
          <w:i w:val="false"/>
          <w:iCs w:val="false"/>
          <w:color w:val="222222"/>
          <w:sz w:val="21"/>
          <w:szCs w:val="21"/>
        </w:rPr>
        <w:t xml:space="preserv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Time from a new resident's or worker's first registration to their first completed booking, hire, or shift — a direct measure of the "first-time user completes their first action within five minutes, without external training" usability target in Section 5.</w:t>
      </w:r>
    </w:p>
    <w:p>
      <w:pPr>
        <w:spacing w:after="160" w:line="276"/>
      </w:pPr>
      <w:r>
        <w:rPr>
          <w:rFonts w:ascii="Times New Roman" w:cs="Times New Roman" w:eastAsia="Times New Roman" w:hAnsi="Times New Roman"/>
          <w:b/>
          <w:bCs/>
          <w:i w:val="false"/>
          <w:iCs w:val="false"/>
          <w:color w:val="222222"/>
          <w:sz w:val="21"/>
          <w:szCs w:val="21"/>
        </w:rPr>
        <w:t xml:space="preserve">Trust and safety</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Gate-verification decisions resolved as </w:t>
      </w:r>
      <w:r>
        <w:rPr>
          <w:rFonts w:ascii="Consolas" w:cs="Consolas" w:eastAsia="Consolas" w:hAnsi="Consolas"/>
          <w:b w:val="false"/>
          <w:bCs w:val="false"/>
          <w:i w:val="false"/>
          <w:iCs w:val="false"/>
          <w:color w:val="222222"/>
          <w:sz w:val="19"/>
          <w:szCs w:val="19"/>
        </w:rPr>
        <w:t xml:space="preserve">ALLOWED</w:t>
      </w:r>
      <w:r>
        <w:rPr>
          <w:rFonts w:ascii="Times New Roman" w:cs="Times New Roman" w:eastAsia="Times New Roman" w:hAnsi="Times New Roman"/>
          <w:b w:val="false"/>
          <w:bCs w:val="false"/>
          <w:i w:val="false"/>
          <w:iCs w:val="false"/>
          <w:color w:val="222222"/>
          <w:sz w:val="21"/>
          <w:szCs w:val="21"/>
        </w:rPr>
        <w:t xml:space="preserve"> versus routed to </w:t>
      </w:r>
      <w:r>
        <w:rPr>
          <w:rFonts w:ascii="Consolas" w:cs="Consolas" w:eastAsia="Consolas" w:hAnsi="Consolas"/>
          <w:b w:val="false"/>
          <w:bCs w:val="false"/>
          <w:i w:val="false"/>
          <w:iCs w:val="false"/>
          <w:color w:val="222222"/>
          <w:sz w:val="19"/>
          <w:szCs w:val="19"/>
        </w:rPr>
        <w:t xml:space="preserve">PENDING_REVIEW</w:t>
      </w:r>
      <w:r>
        <w:rPr>
          <w:rFonts w:ascii="Times New Roman" w:cs="Times New Roman" w:eastAsia="Times New Roman" w:hAnsi="Times New Roman"/>
          <w:b w:val="false"/>
          <w:bCs w:val="false"/>
          <w:i w:val="false"/>
          <w:iCs w:val="false"/>
          <w:color w:val="222222"/>
          <w:sz w:val="21"/>
          <w:szCs w:val="21"/>
        </w:rPr>
        <w:t xml:space="preserve">, and the resolution time for the latter — a direct measure of whether the "no automated check may deny a person" principle in Section 1.3 is holding in practice, rather than merely being policy.</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Complaint SLA compliance: the percentage of complaints answered within their assigned service-level window (4 hours for urgent, 24 for high, 72 for normal priority), and the count of complaints requiring escalation.</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Average and trend of worker and resident trust scores across a society, and the proportion of trust-score components backed by real evidence versus the cold-start neutral prior.</w:t>
      </w:r>
    </w:p>
    <w:p>
      <w:pPr>
        <w:spacing w:after="160" w:line="276"/>
      </w:pPr>
      <w:r>
        <w:rPr>
          <w:rFonts w:ascii="Times New Roman" w:cs="Times New Roman" w:eastAsia="Times New Roman" w:hAnsi="Times New Roman"/>
          <w:b/>
          <w:bCs/>
          <w:i w:val="false"/>
          <w:iCs w:val="false"/>
          <w:color w:val="222222"/>
          <w:sz w:val="21"/>
          <w:szCs w:val="21"/>
        </w:rPr>
        <w:t xml:space="preserve">Commercial health</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Conversion rate from a society's free-tier usage to a paid subscription tier, and the elapsed time to conversion from first resident registration.</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Monthly recurring revenue per active society, and the ratio of that revenue to the infrastructure cost of serving the society (the "does one sale cover its own cost" metric from Section 2.4).</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One-day booking attach rate (bookings per active resident per month) as the leading indicator for the convenience-fee revenue line.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Verification-badge and featured-placement attach rate among active workers.</w:t>
      </w:r>
    </w:p>
    <w:p>
      <w:pPr>
        <w:spacing w:after="160" w:line="276"/>
      </w:pPr>
      <w:r>
        <w:rPr>
          <w:rFonts w:ascii="Times New Roman" w:cs="Times New Roman" w:eastAsia="Times New Roman" w:hAnsi="Times New Roman"/>
          <w:b/>
          <w:bCs/>
          <w:i w:val="false"/>
          <w:iCs w:val="false"/>
          <w:color w:val="222222"/>
          <w:sz w:val="21"/>
          <w:szCs w:val="21"/>
        </w:rPr>
        <w:t xml:space="preserve">Worker and household outcomes</w:t>
      </w:r>
      <w:r>
        <w:rPr>
          <w:rFonts w:ascii="Times New Roman" w:cs="Times New Roman" w:eastAsia="Times New Roman" w:hAnsi="Times New Roman"/>
          <w:b w:val="false"/>
          <w:bCs w:val="false"/>
          <w:i w:val="false"/>
          <w:iCs w:val="false"/>
          <w:color w:val="222222"/>
          <w:sz w:val="21"/>
          <w:szCs w:val="21"/>
        </w:rPr>
        <w:t xml:space="preserve"> — the metrics that justify the platform's stated ideology, not merely its revenue: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Median worker earnings uplift and payment punctuality (percentage of </w:t>
      </w:r>
      <w:r>
        <w:rPr>
          <w:rFonts w:ascii="Consolas" w:cs="Consolas" w:eastAsia="Consolas" w:hAnsi="Consolas"/>
          <w:b w:val="false"/>
          <w:bCs w:val="false"/>
          <w:i w:val="false"/>
          <w:iCs w:val="false"/>
          <w:color w:val="222222"/>
          <w:sz w:val="19"/>
          <w:szCs w:val="19"/>
        </w:rPr>
        <w:t xml:space="preserve">Payment</w:t>
      </w:r>
      <w:r>
        <w:rPr>
          <w:rFonts w:ascii="Times New Roman" w:cs="Times New Roman" w:eastAsia="Times New Roman" w:hAnsi="Times New Roman"/>
          <w:b w:val="false"/>
          <w:bCs w:val="false"/>
          <w:i w:val="false"/>
          <w:iCs w:val="false"/>
          <w:color w:val="222222"/>
          <w:sz w:val="21"/>
          <w:szCs w:val="21"/>
        </w:rPr>
        <w:t xml:space="preserve"> rows settled by their </w:t>
      </w:r>
      <w:r>
        <w:rPr>
          <w:rFonts w:ascii="Consolas" w:cs="Consolas" w:eastAsia="Consolas" w:hAnsi="Consolas"/>
          <w:b w:val="false"/>
          <w:bCs w:val="false"/>
          <w:i w:val="false"/>
          <w:iCs w:val="false"/>
          <w:color w:val="222222"/>
          <w:sz w:val="19"/>
          <w:szCs w:val="19"/>
        </w:rPr>
        <w:t xml:space="preserve">due_at</w:t>
      </w:r>
      <w:r>
        <w:rPr>
          <w:rFonts w:ascii="Times New Roman" w:cs="Times New Roman" w:eastAsia="Times New Roman" w:hAnsi="Times New Roman"/>
          <w:b w:val="false"/>
          <w:bCs w:val="false"/>
          <w:i w:val="false"/>
          <w:iCs w:val="false"/>
          <w:color w:val="222222"/>
          <w:sz w:val="21"/>
          <w:szCs w:val="21"/>
        </w:rPr>
        <w:t xml:space="preserve">) compared to the informal-market baseline the platform displaces.</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Worker retention on the platform and repeat-engagement rate with the same household.</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The rate at which safety-critical complaints (category </w:t>
      </w:r>
      <w:r>
        <w:rPr>
          <w:rFonts w:ascii="Consolas" w:cs="Consolas" w:eastAsia="Consolas" w:hAnsi="Consolas"/>
          <w:b w:val="false"/>
          <w:bCs w:val="false"/>
          <w:i w:val="false"/>
          <w:iCs w:val="false"/>
          <w:color w:val="222222"/>
          <w:sz w:val="19"/>
          <w:szCs w:val="19"/>
        </w:rPr>
        <w:t xml:space="preserve">SAFETY</w:t>
      </w:r>
      <w:r>
        <w:rPr>
          <w:rFonts w:ascii="Times New Roman" w:cs="Times New Roman" w:eastAsia="Times New Roman" w:hAnsi="Times New Roman"/>
          <w:b w:val="false"/>
          <w:bCs w:val="false"/>
          <w:i w:val="false"/>
          <w:iCs w:val="false"/>
          <w:color w:val="222222"/>
          <w:sz w:val="21"/>
          <w:szCs w:val="21"/>
        </w:rPr>
        <w:t xml:space="preserve">) are raised and resolved, and whether workers use the complaint channel against residents at a rate that suggests the symmetry described in Section 1.3 is functioning, not merely present in the schema.</w:t>
      </w:r>
    </w:p>
    <w:p>
      <w:pPr>
        <w:pStyle w:val="Heading1"/>
        <w:pageBreakBefore/>
        <w:spacing w:after="160" w:before="320"/>
      </w:pPr>
      <w:r>
        <w:rPr>
          <w:rFonts w:ascii="Times New Roman" w:cs="Times New Roman" w:eastAsia="Times New Roman" w:hAnsi="Times New Roman"/>
          <w:b/>
          <w:bCs/>
          <w:color w:val="1F3864"/>
          <w:sz w:val="30"/>
          <w:szCs w:val="30"/>
        </w:rPr>
        <w:t xml:space="preserve">3. Overall Description</w:t>
      </w:r>
    </w:p>
    <w:p>
      <w:pPr>
        <w:pStyle w:val="Heading2"/>
        <w:spacing w:after="120" w:before="260"/>
      </w:pPr>
      <w:r>
        <w:rPr>
          <w:rFonts w:ascii="Times New Roman" w:cs="Times New Roman" w:eastAsia="Times New Roman" w:hAnsi="Times New Roman"/>
          <w:b/>
          <w:bCs/>
          <w:color w:val="2E74B5"/>
          <w:sz w:val="24"/>
          <w:szCs w:val="24"/>
        </w:rPr>
        <w:t xml:space="preserve">3.1 Product Perspective &amp; Architecture</w:t>
      </w:r>
    </w:p>
    <w:p>
      <w:pPr>
        <w:spacing w:after="160" w:line="276"/>
      </w:pPr>
      <w:r>
        <w:rPr>
          <w:rFonts w:ascii="Times New Roman" w:cs="Times New Roman" w:eastAsia="Times New Roman" w:hAnsi="Times New Roman"/>
          <w:b w:val="false"/>
          <w:bCs w:val="false"/>
          <w:i w:val="false"/>
          <w:iCs w:val="false"/>
          <w:color w:val="222222"/>
          <w:sz w:val="21"/>
          <w:szCs w:val="21"/>
        </w:rPr>
        <w:t xml:space="preserve">Sathify is a new, standalone product that digitizes a process which today is entirely manual: informal, word-of-mouth hiring; paper attendance registers; cash-only payment; and no durable record of a worker's reliability that follows them between households. It is not a redesign of an existing tool and does not require a society to abandon any general-purpose society-management software it already runs — it is positioned as a dedicated module a society adopts specifically for its domestic workforce.</w:t>
      </w:r>
    </w:p>
    <w:p>
      <w:pPr>
        <w:spacing w:after="160" w:line="276"/>
      </w:pPr>
      <w:r>
        <w:rPr>
          <w:rFonts w:ascii="Times New Roman" w:cs="Times New Roman" w:eastAsia="Times New Roman" w:hAnsi="Times New Roman"/>
          <w:b/>
          <w:bCs/>
          <w:i w:val="false"/>
          <w:iCs w:val="false"/>
          <w:color w:val="222222"/>
          <w:sz w:val="21"/>
          <w:szCs w:val="21"/>
        </w:rPr>
        <w:t xml:space="preserve">Architecture, end to end:</w:t>
      </w:r>
    </w:p>
    <w:p>
      <w:pPr>
        <w:spacing w:after="160" w:line="276"/>
      </w:pPr>
      <w:r>
        <w:rPr>
          <w:rFonts w:ascii="Times New Roman" w:cs="Times New Roman" w:eastAsia="Times New Roman" w:hAnsi="Times New Roman"/>
          <w:b w:val="false"/>
          <w:bCs w:val="false"/>
          <w:i w:val="false"/>
          <w:iCs w:val="false"/>
          <w:color w:val="222222"/>
          <w:sz w:val="21"/>
          <w:szCs w:val="21"/>
        </w:rPr>
        <w:t xml:space="preserve">``</w:t>
      </w:r>
      <w:r>
        <w:rPr>
          <w:rFonts w:ascii="Consolas" w:cs="Consolas" w:eastAsia="Consolas" w:hAnsi="Consolas"/>
          <w:b w:val="false"/>
          <w:bCs w:val="false"/>
          <w:i w:val="false"/>
          <w:iCs w:val="false"/>
          <w:color w:val="222222"/>
          <w:sz w:val="19"/>
          <w:szCs w:val="19"/>
        </w:rPr>
        <w:t xml:space="preserve"> ┌─────────────────────────────┐ │   Flutter mobile application │   (Android first; Riverpod state │   (role-aware navigation)     │    management, go_router, offline └───────────────┬──────────────┘    SQLite queue for attendance) │  JSON over HTTPS (REST, JWT bearer auth) ┌────────────────▼──────────────┐ │  Django REST Framework API     │   One Django app per functional │  (config/urls.py → /api/v1/…)  │   module; society-scoped queries └───┬─────────────┬─────────┬────┘   enforce multi-tenancy throughout │             │         │ ┌────────▼───┐ ┌───────▼────┐ ┌──▼─────────────┐ │ PostgreSQL │ │ Supabase   │ │ External services│ │ (Supabase) │ │ Storage    │ │ Razorpay · FCM ·  │ │            │ │ (media)    │ │ Gemini/Groq/      │ │            │ │            │ │ OpenRouter/HF ·    │ │            │ │            │ │ PaddleOCR/EasyOCR ·│ │            │ │            │ │ DeepFace           │ └────────────┘ └────────────┘ └────────────────────┘ </w:t>
      </w:r>
      <w:r>
        <w:rPr>
          <w:rFonts w:ascii="Times New Roman" w:cs="Times New Roman" w:eastAsia="Times New Roman" w:hAnsi="Times New Roman"/>
          <w:b w:val="false"/>
          <w:bCs w:val="false"/>
          <w:i w:val="false"/>
          <w:iCs w:val="false"/>
          <w:color w:val="222222"/>
          <w:sz w:val="21"/>
          <w:szCs w:val="21"/>
        </w:rPr>
        <w:t xml:space="preserve">``</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backend exposes a single versioned JSON API (</w:t>
      </w:r>
      <w:r>
        <w:rPr>
          <w:rFonts w:ascii="Consolas" w:cs="Consolas" w:eastAsia="Consolas" w:hAnsi="Consolas"/>
          <w:b w:val="false"/>
          <w:bCs w:val="false"/>
          <w:i w:val="false"/>
          <w:iCs w:val="false"/>
          <w:color w:val="222222"/>
          <w:sz w:val="19"/>
          <w:szCs w:val="19"/>
        </w:rPr>
        <w:t xml:space="preserve">/api/v1/</w:t>
      </w:r>
      <w:r>
        <w:rPr>
          <w:rFonts w:ascii="Times New Roman" w:cs="Times New Roman" w:eastAsia="Times New Roman" w:hAnsi="Times New Roman"/>
          <w:b w:val="false"/>
          <w:bCs w:val="false"/>
          <w:i w:val="false"/>
          <w:iCs w:val="false"/>
          <w:color w:val="222222"/>
          <w:sz w:val="21"/>
          <w:szCs w:val="21"/>
        </w:rPr>
        <w:t xml:space="preserve">) consumed exclusively by the Flutter client — there is no server-rendered web front end for end users; Django's template engine is used solely to power the built-in Django Admin, which is deliberately repurposed as the operational review console for society and worker approval queues rather than having a bespoke internal tool built in parallel.</w:t>
      </w:r>
    </w:p>
    <w:p>
      <w:pPr>
        <w:spacing w:after="160" w:line="276"/>
      </w:pPr>
      <w:r>
        <w:rPr>
          <w:rFonts w:ascii="Times New Roman" w:cs="Times New Roman" w:eastAsia="Times New Roman" w:hAnsi="Times New Roman"/>
          <w:b/>
          <w:bCs/>
          <w:i w:val="false"/>
          <w:iCs w:val="false"/>
          <w:color w:val="222222"/>
          <w:sz w:val="21"/>
          <w:szCs w:val="21"/>
        </w:rPr>
        <w:t xml:space="preserve">Multi-tenancy is structural, not incidental.</w:t>
      </w:r>
      <w:r>
        <w:rPr>
          <w:rFonts w:ascii="Times New Roman" w:cs="Times New Roman" w:eastAsia="Times New Roman" w:hAnsi="Times New Roman"/>
          <w:b w:val="false"/>
          <w:bCs w:val="false"/>
          <w:i w:val="false"/>
          <w:iCs w:val="false"/>
          <w:color w:val="222222"/>
          <w:sz w:val="21"/>
          <w:szCs w:val="21"/>
        </w:rPr>
        <w:t xml:space="preserve"> Every model that holds society-specific data inherits a common </w:t>
      </w:r>
      <w:r>
        <w:rPr>
          <w:rFonts w:ascii="Consolas" w:cs="Consolas" w:eastAsia="Consolas" w:hAnsi="Consolas"/>
          <w:b w:val="false"/>
          <w:bCs w:val="false"/>
          <w:i w:val="false"/>
          <w:iCs w:val="false"/>
          <w:color w:val="222222"/>
          <w:sz w:val="19"/>
          <w:szCs w:val="19"/>
        </w:rPr>
        <w:t xml:space="preserve">SocietyScopedModel</w:t>
      </w:r>
      <w:r>
        <w:rPr>
          <w:rFonts w:ascii="Times New Roman" w:cs="Times New Roman" w:eastAsia="Times New Roman" w:hAnsi="Times New Roman"/>
          <w:b w:val="false"/>
          <w:bCs w:val="false"/>
          <w:i w:val="false"/>
          <w:iCs w:val="false"/>
          <w:color w:val="222222"/>
          <w:sz w:val="21"/>
          <w:szCs w:val="21"/>
        </w:rPr>
        <w:t xml:space="preserve"> base carrying a </w:t>
      </w:r>
      <w:r>
        <w:rPr>
          <w:rFonts w:ascii="Consolas" w:cs="Consolas" w:eastAsia="Consolas" w:hAnsi="Consolas"/>
          <w:b w:val="false"/>
          <w:bCs w:val="false"/>
          <w:i w:val="false"/>
          <w:iCs w:val="false"/>
          <w:color w:val="222222"/>
          <w:sz w:val="19"/>
          <w:szCs w:val="19"/>
        </w:rPr>
        <w:t xml:space="preserve">society</w:t>
      </w:r>
      <w:r>
        <w:rPr>
          <w:rFonts w:ascii="Times New Roman" w:cs="Times New Roman" w:eastAsia="Times New Roman" w:hAnsi="Times New Roman"/>
          <w:b w:val="false"/>
          <w:bCs w:val="false"/>
          <w:i w:val="false"/>
          <w:iCs w:val="false"/>
          <w:color w:val="222222"/>
          <w:sz w:val="21"/>
          <w:szCs w:val="21"/>
        </w:rPr>
        <w:t xml:space="preserve"> foreign key, and every corresponding API view applies a </w:t>
      </w:r>
      <w:r>
        <w:rPr>
          <w:rFonts w:ascii="Consolas" w:cs="Consolas" w:eastAsia="Consolas" w:hAnsi="Consolas"/>
          <w:b w:val="false"/>
          <w:bCs w:val="false"/>
          <w:i w:val="false"/>
          <w:iCs w:val="false"/>
          <w:color w:val="222222"/>
          <w:sz w:val="19"/>
          <w:szCs w:val="19"/>
        </w:rPr>
        <w:t xml:space="preserve">SocietyScopedQuerysetMixin</w:t>
      </w:r>
      <w:r>
        <w:rPr>
          <w:rFonts w:ascii="Times New Roman" w:cs="Times New Roman" w:eastAsia="Times New Roman" w:hAnsi="Times New Roman"/>
          <w:b w:val="false"/>
          <w:bCs w:val="false"/>
          <w:i w:val="false"/>
          <w:iCs w:val="false"/>
          <w:color w:val="222222"/>
          <w:sz w:val="21"/>
          <w:szCs w:val="21"/>
        </w:rPr>
        <w:t xml:space="preserve"> that filters on it. This is what guarantees a guard or administrator at one society can never read another society's workers, bookings, attendance, or complaints through a shared endpoint — the isolation is enforced by the query layer itself, not by convention or by trusting each view to remember.</w:t>
      </w:r>
    </w:p>
    <w:p>
      <w:pPr>
        <w:spacing w:after="160" w:line="276"/>
      </w:pPr>
      <w:r>
        <w:rPr>
          <w:rFonts w:ascii="Times New Roman" w:cs="Times New Roman" w:eastAsia="Times New Roman" w:hAnsi="Times New Roman"/>
          <w:b/>
          <w:bCs/>
          <w:i w:val="false"/>
          <w:iCs w:val="false"/>
          <w:color w:val="222222"/>
          <w:sz w:val="21"/>
          <w:szCs w:val="21"/>
        </w:rPr>
        <w:t xml:space="preserve">External integrations</w:t>
      </w:r>
      <w:r>
        <w:rPr>
          <w:rFonts w:ascii="Times New Roman" w:cs="Times New Roman" w:eastAsia="Times New Roman" w:hAnsi="Times New Roman"/>
          <w:b w:val="false"/>
          <w:bCs w:val="false"/>
          <w:i w:val="false"/>
          <w:iCs w:val="false"/>
          <w:color w:val="222222"/>
          <w:sz w:val="21"/>
          <w:szCs w:val="21"/>
        </w:rPr>
        <w:t xml:space="preserve"> are deliberately narrow and REST-based rather than SDK-heavy, to keep the deployment footprint small on constrained infrastructure: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2520"/>
        <w:gridCol w:w="2520"/>
        <w:gridCol w:w="2520"/>
        <w:gridCol w:w="2520"/>
      </w:tblGrid>
      <w:tr>
        <w:trPr>
          <w:tblHeader/>
        </w:trPr>
        <w:tc>
          <w:tcPr>
            <w:tcW w:type="dxa" w:w="252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Integration</w:t>
            </w:r>
          </w:p>
        </w:tc>
        <w:tc>
          <w:tcPr>
            <w:tcW w:type="dxa" w:w="252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Direction</w:t>
            </w:r>
          </w:p>
        </w:tc>
        <w:tc>
          <w:tcPr>
            <w:tcW w:type="dxa" w:w="252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Purpose</w:t>
            </w:r>
          </w:p>
        </w:tc>
        <w:tc>
          <w:tcPr>
            <w:tcW w:type="dxa" w:w="252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Notes</w:t>
            </w:r>
          </w:p>
        </w:tc>
      </w:tr>
      <w:tr>
        <w:trPr>
          <w:tblHeader w:val="false"/>
        </w:trPr>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Razorpay</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Outbound</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Digital payment processing between residents and workers, refunds, webhooks</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Accessed via </w:t>
            </w:r>
            <w:r>
              <w:rPr>
                <w:rFonts w:ascii="Consolas" w:cs="Consolas" w:eastAsia="Consolas" w:hAnsi="Consolas"/>
                <w:b w:val="false"/>
                <w:bCs w:val="false"/>
                <w:i w:val="false"/>
                <w:iCs w:val="false"/>
                <w:color w:val="222222"/>
                <w:sz w:val="18"/>
                <w:szCs w:val="18"/>
              </w:rPr>
              <w:t xml:space="preserve">requests</w:t>
            </w:r>
            <w:r>
              <w:rPr>
                <w:rFonts w:ascii="Times New Roman" w:cs="Times New Roman" w:eastAsia="Times New Roman" w:hAnsi="Times New Roman"/>
                <w:b w:val="false"/>
                <w:bCs w:val="false"/>
                <w:i w:val="false"/>
                <w:iCs w:val="false"/>
                <w:color w:val="222222"/>
                <w:sz w:val="20"/>
                <w:szCs w:val="20"/>
              </w:rPr>
              <w:t xml:space="preserve"> against Razorpay's REST API directly, not its official SDK, for compatibility and dependency-size reasons; currently configured in test mode only</w:t>
            </w:r>
          </w:p>
        </w:tc>
      </w:tr>
      <w:tr>
        <w:trPr>
          <w:tblHeader w:val="false"/>
        </w:trPr>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Firebase Cloud Messaging</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Outbound</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Push notification delivery</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Optional; the in-app notification centre is the system of record regardless of whether push succeeds</w:t>
            </w:r>
          </w:p>
        </w:tc>
      </w:tr>
      <w:tr>
        <w:trPr>
          <w:tblHeader w:val="false"/>
        </w:trPr>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Google Gemini / Groq / OpenRouter / Hugging Face</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Outbound</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AI chatbot, review summarisation, sentiment analysis, complaint classification</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Tried in strict order as a four-tier fallback chain; every feature has a non-AI fallback that runs identically when no tier is available</w:t>
            </w:r>
          </w:p>
        </w:tc>
      </w:tr>
      <w:tr>
        <w:trPr>
          <w:tblHeader w:val="false"/>
        </w:trPr>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PaddleOCR (primary) / EasyOCR (fallback)</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Internal service</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Aadhaar document field extraction</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Behind a single internal interface so the deployment profile can be changed without touching calling code</w:t>
            </w:r>
          </w:p>
        </w:tc>
      </w:tr>
      <w:tr>
        <w:trPr>
          <w:tblHeader w:val="false"/>
        </w:trPr>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DeepFace (</w:t>
            </w:r>
            <w:r>
              <w:rPr>
                <w:rFonts w:ascii="Consolas" w:cs="Consolas" w:eastAsia="Consolas" w:hAnsi="Consolas"/>
                <w:b w:val="false"/>
                <w:bCs w:val="false"/>
                <w:i w:val="false"/>
                <w:iCs w:val="false"/>
                <w:color w:val="222222"/>
                <w:sz w:val="18"/>
                <w:szCs w:val="18"/>
              </w:rPr>
              <w:t xml:space="preserve">DeepFace.verify()</w:t>
            </w:r>
            <w:r>
              <w:rPr>
                <w:rFonts w:ascii="Times New Roman" w:cs="Times New Roman" w:eastAsia="Times New Roman" w:hAnsi="Times New Roman"/>
                <w:b w:val="false"/>
                <w:bCs w:val="false"/>
                <w:i w:val="false"/>
                <w:iCs w:val="false"/>
                <w:color w:val="222222"/>
                <w:sz w:val="20"/>
                <w:szCs w:val="20"/>
              </w:rPr>
              <w:t xml:space="preserve">)</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Internal service</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Face verification at the gate</w:t>
            </w:r>
          </w:p>
        </w:tc>
        <w:tc>
          <w:tcPr>
            <w:tcW w:type="dxa" w:w="252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 below-threshold match is never a denial — see Section 5.2</w:t>
            </w:r>
          </w:p>
        </w:tc>
      </w:tr>
      <w:tr>
        <w:trPr>
          <w:tblHeader w:val="false"/>
        </w:trPr>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SMS gateway (provider-agnostic)</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Outbound</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Backup notification channel</w:t>
            </w:r>
          </w:p>
        </w:tc>
        <w:tc>
          <w:tcPr>
            <w:tcW w:type="dxa" w:w="252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Disabled by default; configuration-driven rather than tied to a specific vendor's SDK</w:t>
            </w:r>
          </w:p>
        </w:tc>
      </w:tr>
    </w:tbl>
    <w:p>
      <w:pPr>
        <w:spacing w:after="200"/>
      </w:pPr>
    </w:p>
    <w:p>
      <w:pPr>
        <w:pStyle w:val="Heading2"/>
        <w:spacing w:after="120" w:before="260"/>
      </w:pPr>
      <w:r>
        <w:rPr>
          <w:rFonts w:ascii="Times New Roman" w:cs="Times New Roman" w:eastAsia="Times New Roman" w:hAnsi="Times New Roman"/>
          <w:b/>
          <w:bCs/>
          <w:color w:val="2E74B5"/>
          <w:sz w:val="24"/>
          <w:szCs w:val="24"/>
        </w:rPr>
        <w:t xml:space="preserve">3.2 User Classes and Characteristics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3360"/>
        <w:gridCol w:w="3360"/>
        <w:gridCol w:w="3360"/>
      </w:tblGrid>
      <w:tr>
        <w:trPr>
          <w:tblHeader/>
        </w:trPr>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User Class</w:t>
            </w:r>
          </w:p>
        </w:tc>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Description</w:t>
            </w:r>
          </w:p>
        </w:tc>
        <w:tc>
          <w:tcPr>
            <w:tcW w:type="dxa" w:w="3360"/>
            <w:shd w:fill="1F3864"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FFFFFF"/>
                <w:sz w:val="21"/>
                <w:szCs w:val="21"/>
              </w:rPr>
              <w:t xml:space="preserve">Technical Proficiency</w:t>
            </w:r>
          </w:p>
        </w:tc>
      </w:tr>
      <w:tr>
        <w:trPr>
          <w:tblHeader w:val="false"/>
        </w:trPr>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Resident</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Registers a flat within an approved society; discovers and hires domestic workers as a standing engagement or books a one-off service; sets task timings and expectations; pays digitally; views attendance and gate history; rates and reviews workers; may raise or respond to complaints. One resident per flat is designated the primary account holder, who alone may create or edit hires and schedules, preventing conflicting instructions from the same household.</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Basic</w:t>
            </w:r>
          </w:p>
        </w:tc>
      </w:tr>
      <w:tr>
        <w:trPr>
          <w:tblHeader w:val="false"/>
        </w:trPr>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Domestic Worker</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Registers with a government-ID-backed KYC process; manages availability, service types, and profile photo (which doubles as the gate's face-verification reference image); receives and responds to hire requests and bookings; marks task completion; requests urgent leave; tracks earnings and payment history; is rated by residents and rates them in turn; may raise complaints against a household.</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Basic</w:t>
            </w:r>
          </w:p>
        </w:tc>
      </w:tr>
      <w:tr>
        <w:trPr>
          <w:tblHeader w:val="false"/>
        </w:trPr>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Security Guard</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Scans a worker's QR gate pass (or a resident-scanned printed card, or a paper register as a last resort) to verify identity and today's approved bookings; allows or denies entry; resolves face-verification checks that fall below the automatic-match threshold; operates fully offline with data synced once connectivity returns.</w:t>
            </w:r>
          </w:p>
        </w:tc>
        <w:tc>
          <w:tcPr>
            <w:tcW w:type="dxa" w:w="3360"/>
            <w:shd w:fill="FFFFFF"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Basic</w:t>
            </w:r>
          </w:p>
        </w:tc>
      </w:tr>
      <w:tr>
        <w:trPr>
          <w:tblHeader w:val="false"/>
        </w:trPr>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bCs/>
                <w:i w:val="false"/>
                <w:iCs w:val="false"/>
                <w:color w:val="222222"/>
                <w:sz w:val="20"/>
                <w:szCs w:val="20"/>
              </w:rPr>
              <w:t xml:space="preserve">Society Administrator</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Approves resident and worker registrations; manages the worker directory; monitors and acts on the complaint queue against its service-level deadline; reviews attendance, payment, and demand reports; configures society-level settings (gate count, booking notice period, guard shift length); is the commercial counterparty for the society's subscription tier.</w:t>
            </w:r>
          </w:p>
        </w:tc>
        <w:tc>
          <w:tcPr>
            <w:tcW w:type="dxa" w:w="3360"/>
            <w:shd w:fill="F2F2F2" w:color="auto" w:val="clear"/>
            <w:tcMar>
              <w:top w:type="dxa" w:w="80"/>
              <w:left w:type="dxa" w:w="100"/>
              <w:bottom w:type="dxa" w:w="80"/>
              <w:right w:type="dxa" w:w="100"/>
            </w:tcMar>
            <w:vAlign w:val="center"/>
          </w:tcPr>
          <w:p>
            <w:pPr>
              <w:spacing w:after="0"/>
            </w:pPr>
            <w:r>
              <w:rPr>
                <w:rFonts w:ascii="Times New Roman" w:cs="Times New Roman" w:eastAsia="Times New Roman" w:hAnsi="Times New Roman"/>
                <w:b w:val="false"/>
                <w:bCs w:val="false"/>
                <w:i w:val="false"/>
                <w:iCs w:val="false"/>
                <w:color w:val="222222"/>
                <w:sz w:val="20"/>
                <w:szCs w:val="20"/>
              </w:rPr>
              <w:t xml:space="preserve">Intermediate</w:t>
            </w:r>
          </w:p>
        </w:tc>
      </w:tr>
    </w:tbl>
    <w:p>
      <w:pPr>
        <w:spacing w:after="200"/>
      </w:pPr>
    </w:p>
    <w:p>
      <w:pPr>
        <w:spacing w:after="160" w:line="276"/>
      </w:pPr>
      <w:r>
        <w:rPr>
          <w:rFonts w:ascii="Times New Roman" w:cs="Times New Roman" w:eastAsia="Times New Roman" w:hAnsi="Times New Roman"/>
          <w:b w:val="false"/>
          <w:bCs w:val="false"/>
          <w:i w:val="false"/>
          <w:iCs w:val="false"/>
          <w:color w:val="222222"/>
          <w:sz w:val="21"/>
          <w:szCs w:val="21"/>
        </w:rPr>
        <w:t xml:space="preserve">A single authentication record (</w:t>
      </w:r>
      <w:r>
        <w:rPr>
          <w:rFonts w:ascii="Consolas" w:cs="Consolas" w:eastAsia="Consolas" w:hAnsi="Consolas"/>
          <w:b w:val="false"/>
          <w:bCs w:val="false"/>
          <w:i w:val="false"/>
          <w:iCs w:val="false"/>
          <w:color w:val="222222"/>
          <w:sz w:val="19"/>
          <w:szCs w:val="19"/>
        </w:rPr>
        <w:t xml:space="preserve">User</w:t>
      </w:r>
      <w:r>
        <w:rPr>
          <w:rFonts w:ascii="Times New Roman" w:cs="Times New Roman" w:eastAsia="Times New Roman" w:hAnsi="Times New Roman"/>
          <w:b w:val="false"/>
          <w:bCs w:val="false"/>
          <w:i w:val="false"/>
          <w:iCs w:val="false"/>
          <w:color w:val="222222"/>
          <w:sz w:val="21"/>
          <w:szCs w:val="21"/>
        </w:rPr>
        <w:t xml:space="preserve">) underlies all four roles, distinguished by a mutually-exclusive </w:t>
      </w:r>
      <w:r>
        <w:rPr>
          <w:rFonts w:ascii="Consolas" w:cs="Consolas" w:eastAsia="Consolas" w:hAnsi="Consolas"/>
          <w:b w:val="false"/>
          <w:bCs w:val="false"/>
          <w:i w:val="false"/>
          <w:iCs w:val="false"/>
          <w:color w:val="222222"/>
          <w:sz w:val="19"/>
          <w:szCs w:val="19"/>
        </w:rPr>
        <w:t xml:space="preserve">role</w:t>
      </w:r>
      <w:r>
        <w:rPr>
          <w:rFonts w:ascii="Times New Roman" w:cs="Times New Roman" w:eastAsia="Times New Roman" w:hAnsi="Times New Roman"/>
          <w:b w:val="false"/>
          <w:bCs w:val="false"/>
          <w:i w:val="false"/>
          <w:iCs w:val="false"/>
          <w:color w:val="222222"/>
          <w:sz w:val="21"/>
          <w:szCs w:val="21"/>
        </w:rPr>
        <w:t xml:space="preserve"> field and, for three of the four roles, a linked profile model (</w:t>
      </w:r>
      <w:r>
        <w:rPr>
          <w:rFonts w:ascii="Consolas" w:cs="Consolas" w:eastAsia="Consolas" w:hAnsi="Consolas"/>
          <w:b w:val="false"/>
          <w:bCs w:val="false"/>
          <w:i w:val="false"/>
          <w:iCs w:val="false"/>
          <w:color w:val="222222"/>
          <w:sz w:val="19"/>
          <w:szCs w:val="19"/>
        </w:rPr>
        <w:t xml:space="preserve">Resident</w:t>
      </w:r>
      <w:r>
        <w:rPr>
          <w:rFonts w:ascii="Times New Roman" w:cs="Times New Roman" w:eastAsia="Times New Roman" w:hAnsi="Times New Roman"/>
          <w:b w:val="false"/>
          <w:bCs w:val="false"/>
          <w:i w:val="false"/>
          <w:iCs w:val="false"/>
          <w:color w:val="222222"/>
          <w:sz w:val="21"/>
          <w:szCs w:val="21"/>
        </w:rPr>
        <w:t xml:space="preserve">, </w:t>
      </w:r>
      <w:r>
        <w:rPr>
          <w:rFonts w:ascii="Consolas" w:cs="Consolas" w:eastAsia="Consolas" w:hAnsi="Consolas"/>
          <w:b w:val="false"/>
          <w:bCs w:val="false"/>
          <w:i w:val="false"/>
          <w:iCs w:val="false"/>
          <w:color w:val="222222"/>
          <w:sz w:val="19"/>
          <w:szCs w:val="19"/>
        </w:rPr>
        <w:t xml:space="preserve">WorkerProfile</w:t>
      </w:r>
      <w:r>
        <w:rPr>
          <w:rFonts w:ascii="Times New Roman" w:cs="Times New Roman" w:eastAsia="Times New Roman" w:hAnsi="Times New Roman"/>
          <w:b w:val="false"/>
          <w:bCs w:val="false"/>
          <w:i w:val="false"/>
          <w:iCs w:val="false"/>
          <w:color w:val="222222"/>
          <w:sz w:val="21"/>
          <w:szCs w:val="21"/>
        </w:rPr>
        <w:t xml:space="preserve">, or a guard account tied to a specific society gate) that carries the data specific to that role. Login is by </w:t>
      </w:r>
      <w:r>
        <w:rPr>
          <w:rFonts w:ascii="Times New Roman" w:cs="Times New Roman" w:eastAsia="Times New Roman" w:hAnsi="Times New Roman"/>
          <w:b/>
          <w:bCs/>
          <w:i w:val="false"/>
          <w:iCs w:val="false"/>
          <w:color w:val="222222"/>
          <w:sz w:val="21"/>
          <w:szCs w:val="21"/>
        </w:rPr>
        <w:t xml:space="preserve">phone number</w:t>
      </w:r>
      <w:r>
        <w:rPr>
          <w:rFonts w:ascii="Times New Roman" w:cs="Times New Roman" w:eastAsia="Times New Roman" w:hAnsi="Times New Roman"/>
          <w:b w:val="false"/>
          <w:bCs w:val="false"/>
          <w:i w:val="false"/>
          <w:iCs w:val="false"/>
          <w:color w:val="222222"/>
          <w:sz w:val="21"/>
          <w:szCs w:val="21"/>
        </w:rPr>
        <w:t xml:space="preserve">, not username or email, because a reliable email address cannot be assumed for a meaningful share of the domestic-worker population, while a mobile phone number is the identifier every user in this market already has and uses daily.</w:t>
      </w:r>
    </w:p>
    <w:p>
      <w:pPr>
        <w:pStyle w:val="Heading2"/>
        <w:spacing w:after="120" w:before="260"/>
      </w:pPr>
      <w:r>
        <w:rPr>
          <w:rFonts w:ascii="Times New Roman" w:cs="Times New Roman" w:eastAsia="Times New Roman" w:hAnsi="Times New Roman"/>
          <w:b/>
          <w:bCs/>
          <w:color w:val="2E74B5"/>
          <w:sz w:val="24"/>
          <w:szCs w:val="24"/>
        </w:rPr>
        <w:t xml:space="preserve">3.3 Operating Environment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Client:</w:t>
      </w:r>
      <w:r>
        <w:rPr>
          <w:rFonts w:ascii="Times New Roman" w:cs="Times New Roman" w:eastAsia="Times New Roman" w:hAnsi="Times New Roman"/>
          <w:b w:val="false"/>
          <w:bCs w:val="false"/>
          <w:i w:val="false"/>
          <w:iCs w:val="false"/>
          <w:color w:val="222222"/>
          <w:sz w:val="21"/>
          <w:szCs w:val="21"/>
        </w:rPr>
        <w:t xml:space="preserve"> A cross-platform mobile application built in Flutter (SDK ≥ 3.27, Dart ≥ 3.6), targeting Android as the primary and first-shipped platform. The codebase is structured such that an iOS build is an extension rather than a rewrite (see Section 6).</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Server:</w:t>
      </w:r>
      <w:r>
        <w:rPr>
          <w:rFonts w:ascii="Times New Roman" w:cs="Times New Roman" w:eastAsia="Times New Roman" w:hAnsi="Times New Roman"/>
          <w:b w:val="false"/>
          <w:bCs w:val="false"/>
          <w:i w:val="false"/>
          <w:iCs w:val="false"/>
          <w:color w:val="222222"/>
          <w:sz w:val="21"/>
          <w:szCs w:val="21"/>
        </w:rPr>
        <w:t xml:space="preserve"> Python 3.13 with Django 5.2 (LTS, supported into 2028) and Django REST Framework, deployed as a single web service.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Database:</w:t>
      </w:r>
      <w:r>
        <w:rPr>
          <w:rFonts w:ascii="Times New Roman" w:cs="Times New Roman" w:eastAsia="Times New Roman" w:hAnsi="Times New Roman"/>
          <w:b w:val="false"/>
          <w:bCs w:val="false"/>
          <w:i w:val="false"/>
          <w:iCs w:val="false"/>
          <w:color w:val="222222"/>
          <w:sz w:val="21"/>
          <w:szCs w:val="21"/>
        </w:rPr>
        <w:t xml:space="preserve"> PostgreSQL, hosted on Supabase, with a transparent fallback to local SQLite for offline or disconnected development.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File/media storage:</w:t>
      </w:r>
      <w:r>
        <w:rPr>
          <w:rFonts w:ascii="Times New Roman" w:cs="Times New Roman" w:eastAsia="Times New Roman" w:hAnsi="Times New Roman"/>
          <w:b w:val="false"/>
          <w:bCs w:val="false"/>
          <w:i w:val="false"/>
          <w:iCs w:val="false"/>
          <w:color w:val="222222"/>
          <w:sz w:val="21"/>
          <w:szCs w:val="21"/>
        </w:rPr>
        <w:t xml:space="preserve"> Supabase Storage (S3-compatible), used in production because the deployment host's own filesystem does not persist data across restarts; local filesystem storage is used only in development.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Push notifications:</w:t>
      </w:r>
      <w:r>
        <w:rPr>
          <w:rFonts w:ascii="Times New Roman" w:cs="Times New Roman" w:eastAsia="Times New Roman" w:hAnsi="Times New Roman"/>
          <w:b w:val="false"/>
          <w:bCs w:val="false"/>
          <w:i w:val="false"/>
          <w:iCs w:val="false"/>
          <w:color w:val="222222"/>
          <w:sz w:val="21"/>
          <w:szCs w:val="21"/>
        </w:rPr>
        <w:t xml:space="preserve"> Firebase Cloud Messaging, optional and gracefully degraded when unconfigured.</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Hosting:</w:t>
      </w:r>
      <w:r>
        <w:rPr>
          <w:rFonts w:ascii="Times New Roman" w:cs="Times New Roman" w:eastAsia="Times New Roman" w:hAnsi="Times New Roman"/>
          <w:b w:val="false"/>
          <w:bCs w:val="false"/>
          <w:i w:val="false"/>
          <w:iCs w:val="false"/>
          <w:color w:val="222222"/>
          <w:sz w:val="21"/>
          <w:szCs w:val="21"/>
        </w:rPr>
        <w:t xml:space="preserve"> Render (web service), currently on Render's free tier, in the Singapore region as the nearest free region to India.</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Version control and CI:</w:t>
      </w:r>
      <w:r>
        <w:rPr>
          <w:rFonts w:ascii="Times New Roman" w:cs="Times New Roman" w:eastAsia="Times New Roman" w:hAnsi="Times New Roman"/>
          <w:b w:val="false"/>
          <w:bCs w:val="false"/>
          <w:i w:val="false"/>
          <w:iCs w:val="false"/>
          <w:color w:val="222222"/>
          <w:sz w:val="21"/>
          <w:szCs w:val="21"/>
        </w:rPr>
        <w:t xml:space="preserve"> Git and GitHub, with continuous integration running Django system checks, a migration-consistency check, the backend test suite, and Flutter static analysis and tests on every pull request.</w:t>
      </w:r>
    </w:p>
    <w:p>
      <w:pPr>
        <w:pStyle w:val="Heading2"/>
        <w:spacing w:after="120" w:before="260"/>
      </w:pPr>
      <w:r>
        <w:rPr>
          <w:rFonts w:ascii="Times New Roman" w:cs="Times New Roman" w:eastAsia="Times New Roman" w:hAnsi="Times New Roman"/>
          <w:b/>
          <w:bCs/>
          <w:color w:val="2E74B5"/>
          <w:sz w:val="24"/>
          <w:szCs w:val="24"/>
        </w:rPr>
        <w:t xml:space="preserve">3.4 Design and Implementation Constraints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Worker onboarding requires mandatory Aadhaar-based identity verification before activation.</w:t>
      </w:r>
      <w:r>
        <w:rPr>
          <w:rFonts w:ascii="Times New Roman" w:cs="Times New Roman" w:eastAsia="Times New Roman" w:hAnsi="Times New Roman"/>
          <w:b w:val="false"/>
          <w:bCs w:val="false"/>
          <w:i w:val="false"/>
          <w:iCs w:val="false"/>
          <w:color w:val="222222"/>
          <w:sz w:val="21"/>
          <w:szCs w:val="21"/>
        </w:rPr>
        <w:t xml:space="preserve"> The full twelve-digit Aadhaar number is never persisted in the database; only the last four digits (for display) and a keyed HMAC-SHA256 hash (for cross-society duplicate detection) are stored. This is a deliberate, conservative engineering posture in light of UIDAI's restrictions on private storage of Aadhaar numbers and India's Digital Personal Data Protection Act, 2023 — and is explicitly not a substitute for legal review of the platform's data-handling practices as it scales.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All payment transactions are processed through a PCI-DSS-compliant gateway (Razorpay); Sathify never stores raw card or bank account details.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Gate-entry decisions must be made without depending on the backend server being reachable at that instant.</w:t>
      </w:r>
      <w:r>
        <w:rPr>
          <w:rFonts w:ascii="Times New Roman" w:cs="Times New Roman" w:eastAsia="Times New Roman" w:hAnsi="Times New Roman"/>
          <w:b w:val="false"/>
          <w:bCs w:val="false"/>
          <w:i w:val="false"/>
          <w:iCs w:val="false"/>
          <w:color w:val="222222"/>
          <w:sz w:val="21"/>
          <w:szCs w:val="21"/>
        </w:rPr>
        <w:t xml:space="preserve"> The guard's device holds a locally cached copy of the day's approved roster and decides offline; every decision is recorded against a client-generated identifier so that a later sync can never create a duplicate entry.</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Every AI-backed feature must degrade to a deterministic, non-AI fallback.</w:t>
      </w:r>
      <w:r>
        <w:rPr>
          <w:rFonts w:ascii="Times New Roman" w:cs="Times New Roman" w:eastAsia="Times New Roman" w:hAnsi="Times New Roman"/>
          <w:b w:val="false"/>
          <w:bCs w:val="false"/>
          <w:i w:val="false"/>
          <w:iCs w:val="false"/>
          <w:color w:val="222222"/>
          <w:sz w:val="21"/>
          <w:szCs w:val="21"/>
        </w:rPr>
        <w:t xml:space="preserve"> This is enforced structurally, not left to convention: the shared </w:t>
      </w:r>
      <w:r>
        <w:rPr>
          <w:rFonts w:ascii="Consolas" w:cs="Consolas" w:eastAsia="Consolas" w:hAnsi="Consolas"/>
          <w:b w:val="false"/>
          <w:bCs w:val="false"/>
          <w:i w:val="false"/>
          <w:iCs w:val="false"/>
          <w:color w:val="222222"/>
          <w:sz w:val="19"/>
          <w:szCs w:val="19"/>
        </w:rPr>
        <w:t xml:space="preserve">with_fallback</w:t>
      </w:r>
      <w:r>
        <w:rPr>
          <w:rFonts w:ascii="Times New Roman" w:cs="Times New Roman" w:eastAsia="Times New Roman" w:hAnsi="Times New Roman"/>
          <w:b w:val="false"/>
          <w:bCs w:val="false"/>
          <w:i w:val="false"/>
          <w:iCs w:val="false"/>
          <w:color w:val="222222"/>
          <w:sz w:val="21"/>
          <w:szCs w:val="21"/>
        </w:rPr>
        <w:t xml:space="preserve"> utility that every AI call in the codebase passes through requires both an AI path and a fallback path as mandatory arguments, so it is not possible to ship a new AI feature without also shipping the path that runs when no AI provider is available.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No automated measurement may deny a person outright.</w:t>
      </w:r>
      <w:r>
        <w:rPr>
          <w:rFonts w:ascii="Times New Roman" w:cs="Times New Roman" w:eastAsia="Times New Roman" w:hAnsi="Times New Roman"/>
          <w:b w:val="false"/>
          <w:bCs w:val="false"/>
          <w:i w:val="false"/>
          <w:iCs w:val="false"/>
          <w:color w:val="222222"/>
          <w:sz w:val="21"/>
          <w:szCs w:val="21"/>
        </w:rPr>
        <w:t xml:space="preserve"> A face-verification score below threshold, a GPS fix outside a society's geofence, or an unreadable Aadhaar scan must each resolve to a state requiring a human decision — never an automatic rejection — because the underlying measurements are least reliable for exactly the population the platform serves, and the cost of a false rejection (a day's unpaid wages, a denied hire) falls disproportionately on the person with the least ability to contest it.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Every third-party dependency in the current build is chosen from a genuinely free tier with no card on file</w:t>
      </w:r>
      <w:r>
        <w:rPr>
          <w:rFonts w:ascii="Times New Roman" w:cs="Times New Roman" w:eastAsia="Times New Roman" w:hAnsi="Times New Roman"/>
          <w:b w:val="false"/>
          <w:bCs w:val="false"/>
          <w:i w:val="false"/>
          <w:iCs w:val="false"/>
          <w:color w:val="222222"/>
          <w:sz w:val="21"/>
          <w:szCs w:val="21"/>
        </w:rPr>
        <w:t xml:space="preserve">, which in turn constrains several architectural choices directly: there is no background task queue or scheduler available in production, so anything that would otherwise be a cron job (expiring stale hire requests and bookings, delivering due reminders, recomputing trust scores, escalating overdue complaints) is instead implemented as an idempotent, bounded sweep safely triggerable from an ordinary read, a lightweight external uptime pinger, or a management command.</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Money is stored exclusively as integer paise, never as a float or a rupee-denominated decimal</w:t>
      </w:r>
      <w:r>
        <w:rPr>
          <w:rFonts w:ascii="Times New Roman" w:cs="Times New Roman" w:eastAsia="Times New Roman" w:hAnsi="Times New Roman"/>
          <w:b w:val="false"/>
          <w:bCs w:val="false"/>
          <w:i w:val="false"/>
          <w:iCs w:val="false"/>
          <w:color w:val="222222"/>
          <w:sz w:val="21"/>
          <w:szCs w:val="21"/>
        </w:rPr>
        <w:t xml:space="preserve">, to avoid the rounding drift that a floating-point ledger would accumulate against Razorpay's own paise-denominated accounting.</w:t>
      </w:r>
    </w:p>
    <w:p>
      <w:pPr>
        <w:pStyle w:val="Heading1"/>
        <w:pageBreakBefore/>
        <w:spacing w:after="160" w:before="320"/>
      </w:pPr>
      <w:r>
        <w:rPr>
          <w:rFonts w:ascii="Times New Roman" w:cs="Times New Roman" w:eastAsia="Times New Roman" w:hAnsi="Times New Roman"/>
          <w:b/>
          <w:bCs/>
          <w:color w:val="1F3864"/>
          <w:sz w:val="30"/>
          <w:szCs w:val="30"/>
        </w:rPr>
        <w:t xml:space="preserve">4. System Features &amp; Functional Requirements</w:t>
      </w:r>
    </w:p>
    <w:p>
      <w:pPr>
        <w:spacing w:after="160" w:line="276"/>
      </w:pPr>
      <w:r>
        <w:rPr>
          <w:rFonts w:ascii="Times New Roman" w:cs="Times New Roman" w:eastAsia="Times New Roman" w:hAnsi="Times New Roman"/>
          <w:b w:val="false"/>
          <w:bCs w:val="false"/>
          <w:i w:val="false"/>
          <w:iCs w:val="false"/>
          <w:color w:val="222222"/>
          <w:sz w:val="21"/>
          <w:szCs w:val="21"/>
        </w:rPr>
        <w:t xml:space="preserve">Sathify's functional scope is organised into thirteen modules, each mapped one-to-one onto a backend application and a corresponding mobile feature folder, giving every module a single clear owner and a self-contained set of data, business rules, and tests.</w:t>
      </w:r>
    </w:p>
    <w:p>
      <w:pPr>
        <w:pStyle w:val="Heading2"/>
        <w:spacing w:after="120" w:before="260"/>
      </w:pPr>
      <w:r>
        <w:rPr>
          <w:rFonts w:ascii="Times New Roman" w:cs="Times New Roman" w:eastAsia="Times New Roman" w:hAnsi="Times New Roman"/>
          <w:b/>
          <w:bCs/>
          <w:color w:val="2E74B5"/>
          <w:sz w:val="24"/>
          <w:szCs w:val="24"/>
        </w:rPr>
        <w:t xml:space="preserve">4.1 Module 1 — Identity &amp; Access Management</w:t>
      </w:r>
    </w:p>
    <w:p>
      <w:pPr>
        <w:spacing w:after="160" w:line="276"/>
      </w:pPr>
      <w:r>
        <w:rPr>
          <w:rFonts w:ascii="Times New Roman" w:cs="Times New Roman" w:eastAsia="Times New Roman" w:hAnsi="Times New Roman"/>
          <w:b w:val="false"/>
          <w:bCs w:val="false"/>
          <w:i w:val="false"/>
          <w:iCs w:val="false"/>
          <w:color w:val="222222"/>
          <w:sz w:val="21"/>
          <w:szCs w:val="21"/>
        </w:rPr>
        <w:t xml:space="preserve">Provides the single authentication record shared by all four roles, using </w:t>
      </w:r>
      <w:r>
        <w:rPr>
          <w:rFonts w:ascii="Times New Roman" w:cs="Times New Roman" w:eastAsia="Times New Roman" w:hAnsi="Times New Roman"/>
          <w:b/>
          <w:bCs/>
          <w:i w:val="false"/>
          <w:iCs w:val="false"/>
          <w:color w:val="222222"/>
          <w:sz w:val="21"/>
          <w:szCs w:val="21"/>
        </w:rPr>
        <w:t xml:space="preserve">phone number</w:t>
      </w:r>
      <w:r>
        <w:rPr>
          <w:rFonts w:ascii="Times New Roman" w:cs="Times New Roman" w:eastAsia="Times New Roman" w:hAnsi="Times New Roman"/>
          <w:b w:val="false"/>
          <w:bCs w:val="false"/>
          <w:i w:val="false"/>
          <w:iCs w:val="false"/>
          <w:color w:val="222222"/>
          <w:sz w:val="21"/>
          <w:szCs w:val="21"/>
        </w:rPr>
        <w:t xml:space="preserve"> as the login identifier rather than username or email. Authentication issues short-lived JSON Web Tokens (access token, default 60 minutes) alongside a longer-lived refresh token (default 30 days) that rotates on every use and is blacklisted on logout or explicit revocation, giving an administrator the ability to invalidate a lost or stolen device without requiring that device to sign in first.</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Phone-based OTP verification</w:t>
      </w:r>
      <w:r>
        <w:rPr>
          <w:rFonts w:ascii="Times New Roman" w:cs="Times New Roman" w:eastAsia="Times New Roman" w:hAnsi="Times New Roman"/>
          <w:b w:val="false"/>
          <w:bCs w:val="false"/>
          <w:i w:val="false"/>
          <w:iCs w:val="false"/>
          <w:color w:val="222222"/>
          <w:sz w:val="21"/>
          <w:szCs w:val="21"/>
        </w:rPr>
        <w:t xml:space="preserve"> for registration, passwordless login, and password reset, with the one-time code stored only as a salted hash (never in plaintext), a maximum of five verification attempts per code, a ten-minute validity window, and rate limiting on how often a code may be resent to the same number, protecting both the six-digit keyspace and the platform's SMS budget from abuse.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Role-based access control</w:t>
      </w:r>
      <w:r>
        <w:rPr>
          <w:rFonts w:ascii="Times New Roman" w:cs="Times New Roman" w:eastAsia="Times New Roman" w:hAnsi="Times New Roman"/>
          <w:b w:val="false"/>
          <w:bCs w:val="false"/>
          <w:i w:val="false"/>
          <w:iCs w:val="false"/>
          <w:color w:val="222222"/>
          <w:sz w:val="21"/>
          <w:szCs w:val="21"/>
        </w:rPr>
        <w:t xml:space="preserve"> across the four mutually-exclusive roles, gating every endpoint by default (deny unless explicitly permitted) rather than allowing by default.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An administrator-approval gate</w:t>
      </w:r>
      <w:r>
        <w:rPr>
          <w:rFonts w:ascii="Times New Roman" w:cs="Times New Roman" w:eastAsia="Times New Roman" w:hAnsi="Times New Roman"/>
          <w:b w:val="false"/>
          <w:bCs w:val="false"/>
          <w:i w:val="false"/>
          <w:iCs w:val="false"/>
          <w:color w:val="222222"/>
          <w:sz w:val="21"/>
          <w:szCs w:val="21"/>
        </w:rPr>
        <w:t xml:space="preserve"> (</w:t>
      </w:r>
      <w:r>
        <w:rPr>
          <w:rFonts w:ascii="Consolas" w:cs="Consolas" w:eastAsia="Consolas" w:hAnsi="Consolas"/>
          <w:b w:val="false"/>
          <w:bCs w:val="false"/>
          <w:i w:val="false"/>
          <w:iCs w:val="false"/>
          <w:color w:val="222222"/>
          <w:sz w:val="19"/>
          <w:szCs w:val="19"/>
        </w:rPr>
        <w:t xml:space="preserve">User.is_approved</w:t>
      </w:r>
      <w:r>
        <w:rPr>
          <w:rFonts w:ascii="Times New Roman" w:cs="Times New Roman" w:eastAsia="Times New Roman" w:hAnsi="Times New Roman"/>
          <w:b w:val="false"/>
          <w:bCs w:val="false"/>
          <w:i w:val="false"/>
          <w:iCs w:val="false"/>
          <w:color w:val="222222"/>
          <w:sz w:val="21"/>
          <w:szCs w:val="21"/>
        </w:rPr>
        <w:t xml:space="preserve">) that governs whether a registered account can transact at all: an unapproved worker is invisible in search and cannot be hired; an unapproved resident cannot browse or book. Registration alone grants no platform access.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Session and device management</w:t>
      </w:r>
      <w:r>
        <w:rPr>
          <w:rFonts w:ascii="Times New Roman" w:cs="Times New Roman" w:eastAsia="Times New Roman" w:hAnsi="Times New Roman"/>
          <w:b w:val="false"/>
          <w:bCs w:val="false"/>
          <w:i w:val="false"/>
          <w:iCs w:val="false"/>
          <w:color w:val="222222"/>
          <w:sz w:val="21"/>
          <w:szCs w:val="21"/>
        </w:rPr>
        <w:t xml:space="preserve">, tracking one row per signed-in device, supporting explicit revocation of a lost device, and ensuring a guard terminal holds a single active session so a device left signed in elsewhere cannot approve gate entries in parallel.</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Multilingual UI preference</w:t>
      </w:r>
      <w:r>
        <w:rPr>
          <w:rFonts w:ascii="Times New Roman" w:cs="Times New Roman" w:eastAsia="Times New Roman" w:hAnsi="Times New Roman"/>
          <w:b w:val="false"/>
          <w:bCs w:val="false"/>
          <w:i w:val="false"/>
          <w:iCs w:val="false"/>
          <w:color w:val="222222"/>
          <w:sz w:val="21"/>
          <w:szCs w:val="21"/>
        </w:rPr>
        <w:t xml:space="preserve"> (English, Hindi, Marathi) stored per user and read by the Flutter client — treated as a core, present-day capability rather than a future enhancement, given the linguistic diversity of the population being served.</w:t>
      </w:r>
    </w:p>
    <w:p>
      <w:pPr>
        <w:pStyle w:val="Heading2"/>
        <w:spacing w:after="120" w:before="260"/>
      </w:pPr>
      <w:r>
        <w:rPr>
          <w:rFonts w:ascii="Times New Roman" w:cs="Times New Roman" w:eastAsia="Times New Roman" w:hAnsi="Times New Roman"/>
          <w:b/>
          <w:bCs/>
          <w:color w:val="2E74B5"/>
          <w:sz w:val="24"/>
          <w:szCs w:val="24"/>
        </w:rPr>
        <w:t xml:space="preserve">4.2 Module 2 — Society &amp; Resident Onboarding</w:t>
      </w:r>
    </w:p>
    <w:p>
      <w:pPr>
        <w:spacing w:after="160" w:line="276"/>
      </w:pPr>
      <w:r>
        <w:rPr>
          <w:rFonts w:ascii="Times New Roman" w:cs="Times New Roman" w:eastAsia="Times New Roman" w:hAnsi="Times New Roman"/>
          <w:b w:val="false"/>
          <w:bCs w:val="false"/>
          <w:i w:val="false"/>
          <w:iCs w:val="false"/>
          <w:color w:val="222222"/>
          <w:sz w:val="21"/>
          <w:szCs w:val="21"/>
        </w:rPr>
        <w:t xml:space="preserve">Establishes the multi-tenancy backbone of the platform. A </w:t>
      </w:r>
      <w:r>
        <w:rPr>
          <w:rFonts w:ascii="Times New Roman" w:cs="Times New Roman" w:eastAsia="Times New Roman" w:hAnsi="Times New Roman"/>
          <w:b/>
          <w:bCs/>
          <w:i w:val="false"/>
          <w:iCs w:val="false"/>
          <w:color w:val="222222"/>
          <w:sz w:val="21"/>
          <w:szCs w:val="21"/>
        </w:rPr>
        <w:t xml:space="preserve">Society</w:t>
      </w:r>
      <w:r>
        <w:rPr>
          <w:rFonts w:ascii="Times New Roman" w:cs="Times New Roman" w:eastAsia="Times New Roman" w:hAnsi="Times New Roman"/>
          <w:b w:val="false"/>
          <w:bCs w:val="false"/>
          <w:i w:val="false"/>
          <w:iCs w:val="false"/>
          <w:color w:val="222222"/>
          <w:sz w:val="21"/>
          <w:szCs w:val="21"/>
        </w:rPr>
        <w:t xml:space="preserve"> is registered by a prospective administrator and sits in a </w:t>
      </w:r>
      <w:r>
        <w:rPr>
          <w:rFonts w:ascii="Consolas" w:cs="Consolas" w:eastAsia="Consolas" w:hAnsi="Consolas"/>
          <w:b w:val="false"/>
          <w:bCs w:val="false"/>
          <w:i w:val="false"/>
          <w:iCs w:val="false"/>
          <w:color w:val="222222"/>
          <w:sz w:val="19"/>
          <w:szCs w:val="19"/>
        </w:rPr>
        <w:t xml:space="preserve">PENDING</w:t>
      </w:r>
      <w:r>
        <w:rPr>
          <w:rFonts w:ascii="Times New Roman" w:cs="Times New Roman" w:eastAsia="Times New Roman" w:hAnsi="Times New Roman"/>
          <w:b w:val="false"/>
          <w:bCs w:val="false"/>
          <w:i w:val="false"/>
          <w:iCs w:val="false"/>
          <w:color w:val="222222"/>
          <w:sz w:val="21"/>
          <w:szCs w:val="21"/>
        </w:rPr>
        <w:t xml:space="preserve"> state — inert, granting no operating privileges — until a platform-level verification step activates it, which is what prevents a fabricated society from ever entering the system. An active society is subdivided into </w:t>
      </w:r>
      <w:r>
        <w:rPr>
          <w:rFonts w:ascii="Times New Roman" w:cs="Times New Roman" w:eastAsia="Times New Roman" w:hAnsi="Times New Roman"/>
          <w:b/>
          <w:bCs/>
          <w:i w:val="false"/>
          <w:iCs w:val="false"/>
          <w:color w:val="222222"/>
          <w:sz w:val="21"/>
          <w:szCs w:val="21"/>
        </w:rPr>
        <w:t xml:space="preserve">towers</w:t>
      </w:r>
      <w:r>
        <w:rPr>
          <w:rFonts w:ascii="Times New Roman" w:cs="Times New Roman" w:eastAsia="Times New Roman" w:hAnsi="Times New Roman"/>
          <w:b w:val="false"/>
          <w:bCs w:val="false"/>
          <w:i w:val="false"/>
          <w:iCs w:val="false"/>
          <w:color w:val="222222"/>
          <w:sz w:val="21"/>
          <w:szCs w:val="21"/>
        </w:rPr>
        <w:t xml:space="preserve"> (or wings/blocks), each containing </w:t>
      </w:r>
      <w:r>
        <w:rPr>
          <w:rFonts w:ascii="Times New Roman" w:cs="Times New Roman" w:eastAsia="Times New Roman" w:hAnsi="Times New Roman"/>
          <w:b/>
          <w:bCs/>
          <w:i w:val="false"/>
          <w:iCs w:val="false"/>
          <w:color w:val="222222"/>
          <w:sz w:val="21"/>
          <w:szCs w:val="21"/>
        </w:rPr>
        <w:t xml:space="preserve">flats</w:t>
      </w:r>
      <w:r>
        <w:rPr>
          <w:rFonts w:ascii="Times New Roman" w:cs="Times New Roman" w:eastAsia="Times New Roman" w:hAnsi="Times New Roman"/>
          <w:b w:val="false"/>
          <w:bCs w:val="false"/>
          <w:i w:val="false"/>
          <w:iCs w:val="false"/>
          <w:color w:val="222222"/>
          <w:sz w:val="21"/>
          <w:szCs w:val="21"/>
        </w:rPr>
        <w:t xml:space="preserve">, and one or more staffed </w:t>
      </w:r>
      <w:r>
        <w:rPr>
          <w:rFonts w:ascii="Times New Roman" w:cs="Times New Roman" w:eastAsia="Times New Roman" w:hAnsi="Times New Roman"/>
          <w:b/>
          <w:bCs/>
          <w:i w:val="false"/>
          <w:iCs w:val="false"/>
          <w:color w:val="222222"/>
          <w:sz w:val="21"/>
          <w:szCs w:val="21"/>
        </w:rPr>
        <w:t xml:space="preserve">gates</w:t>
      </w:r>
      <w:r>
        <w:rPr>
          <w:rFonts w:ascii="Times New Roman" w:cs="Times New Roman" w:eastAsia="Times New Roman" w:hAnsi="Times New Roman"/>
          <w:b w:val="false"/>
          <w:bCs w:val="false"/>
          <w:i w:val="false"/>
          <w:iCs w:val="false"/>
          <w:color w:val="222222"/>
          <w:sz w:val="21"/>
          <w:szCs w:val="21"/>
        </w:rPr>
        <w:t xml:space="preserve">, each of which a security guard is assigned to.</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Resident registration against a specific flat</w:t>
      </w:r>
      <w:r>
        <w:rPr>
          <w:rFonts w:ascii="Times New Roman" w:cs="Times New Roman" w:eastAsia="Times New Roman" w:hAnsi="Times New Roman"/>
          <w:b w:val="false"/>
          <w:bCs w:val="false"/>
          <w:i w:val="false"/>
          <w:iCs w:val="false"/>
          <w:color w:val="222222"/>
          <w:sz w:val="21"/>
          <w:szCs w:val="21"/>
        </w:rPr>
        <w:t xml:space="preserve">, not merely a society, with an accompanying proof of residence (a rent agreement, sale deed, or utility bill) reviewed by an administrator before approval.</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Multiple residents per flat</w:t>
      </w:r>
      <w:r>
        <w:rPr>
          <w:rFonts w:ascii="Times New Roman" w:cs="Times New Roman" w:eastAsia="Times New Roman" w:hAnsi="Times New Roman"/>
          <w:b w:val="false"/>
          <w:bCs w:val="false"/>
          <w:i w:val="false"/>
          <w:iCs w:val="false"/>
          <w:color w:val="222222"/>
          <w:sz w:val="21"/>
          <w:szCs w:val="21"/>
        </w:rPr>
        <w:t xml:space="preserve">, with exactly one designated as the </w:t>
      </w:r>
      <w:r>
        <w:rPr>
          <w:rFonts w:ascii="Times New Roman" w:cs="Times New Roman" w:eastAsia="Times New Roman" w:hAnsi="Times New Roman"/>
          <w:b/>
          <w:bCs/>
          <w:i w:val="false"/>
          <w:iCs w:val="false"/>
          <w:color w:val="222222"/>
          <w:sz w:val="21"/>
          <w:szCs w:val="21"/>
        </w:rPr>
        <w:t xml:space="preserve">primary account holder</w:t>
      </w:r>
      <w:r>
        <w:rPr>
          <w:rFonts w:ascii="Times New Roman" w:cs="Times New Roman" w:eastAsia="Times New Roman" w:hAnsi="Times New Roman"/>
          <w:b w:val="false"/>
          <w:bCs w:val="false"/>
          <w:i w:val="false"/>
          <w:iCs w:val="false"/>
          <w:color w:val="222222"/>
          <w:sz w:val="21"/>
          <w:szCs w:val="21"/>
        </w:rPr>
        <w:t xml:space="preserve"> — enforced as a database-level constraint, not merely a UI convention — who alone may create or edit hires and schedules, preventing two members of the same household from issuing conflicting instructions to a worker.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Society-level configuration</w:t>
      </w:r>
      <w:r>
        <w:rPr>
          <w:rFonts w:ascii="Times New Roman" w:cs="Times New Roman" w:eastAsia="Times New Roman" w:hAnsi="Times New Roman"/>
          <w:b w:val="false"/>
          <w:bCs w:val="false"/>
          <w:i w:val="false"/>
          <w:iCs w:val="false"/>
          <w:color w:val="222222"/>
          <w:sz w:val="21"/>
          <w:szCs w:val="21"/>
        </w:rPr>
        <w:t xml:space="preserve">: number of towers, declared flat count (cross-checked against flats actually mapped in the system), number of staffed gates, minimum notice period required for a one-day booking, guard shift length, and whether a GPS-based resident self-check-in fallback is permitted when no guard is on duty.</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Two-sided trust scoring for residents</w:t>
      </w:r>
      <w:r>
        <w:rPr>
          <w:rFonts w:ascii="Times New Roman" w:cs="Times New Roman" w:eastAsia="Times New Roman" w:hAnsi="Times New Roman"/>
          <w:b w:val="false"/>
          <w:bCs w:val="false"/>
          <w:i w:val="false"/>
          <w:iCs w:val="false"/>
          <w:color w:val="222222"/>
          <w:sz w:val="21"/>
          <w:szCs w:val="21"/>
        </w:rPr>
        <w:t xml:space="preserve">, so that a worker deciding whether to accept a hire request is entitled to the same kind of signal a resident receives about a worker — chiefly, whether a given household actually pays on time and treats workers decently.</w:t>
      </w:r>
    </w:p>
    <w:p>
      <w:pPr>
        <w:pStyle w:val="Heading2"/>
        <w:spacing w:after="120" w:before="260"/>
      </w:pPr>
      <w:r>
        <w:rPr>
          <w:rFonts w:ascii="Times New Roman" w:cs="Times New Roman" w:eastAsia="Times New Roman" w:hAnsi="Times New Roman"/>
          <w:b/>
          <w:bCs/>
          <w:color w:val="2E74B5"/>
          <w:sz w:val="24"/>
          <w:szCs w:val="24"/>
        </w:rPr>
        <w:t xml:space="preserve">4.3 Module 3 — Worker Onboarding &amp; KYC</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trust foundation of the entire platform: a domestic worker cannot appear in resident search results, be hired, or be admitted at any gate until this pipeline completes and a society administrator has reviewed and approved the profile.</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Profile creation</w:t>
      </w:r>
      <w:r>
        <w:rPr>
          <w:rFonts w:ascii="Times New Roman" w:cs="Times New Roman" w:eastAsia="Times New Roman" w:hAnsi="Times New Roman"/>
          <w:b w:val="false"/>
          <w:bCs w:val="false"/>
          <w:i w:val="false"/>
          <w:iCs w:val="false"/>
          <w:color w:val="222222"/>
          <w:sz w:val="21"/>
          <w:szCs w:val="21"/>
        </w:rPr>
        <w:t xml:space="preserve">, including service types offered (maid, cook, cleaner, and similar categories), years of experience, languages spoken, expected monthly rate, availability hours, and a </w:t>
      </w:r>
      <w:r>
        <w:rPr>
          <w:rFonts w:ascii="Times New Roman" w:cs="Times New Roman" w:eastAsia="Times New Roman" w:hAnsi="Times New Roman"/>
          <w:b/>
          <w:bCs/>
          <w:i w:val="false"/>
          <w:iCs w:val="false"/>
          <w:color w:val="222222"/>
          <w:sz w:val="21"/>
          <w:szCs w:val="21"/>
        </w:rPr>
        <w:t xml:space="preserve">profile photograph that doubles as the reference image for gate face verification</w:t>
      </w:r>
      <w:r>
        <w:rPr>
          <w:rFonts w:ascii="Times New Roman" w:cs="Times New Roman" w:eastAsia="Times New Roman" w:hAnsi="Times New Roman"/>
          <w:b w:val="false"/>
          <w:bCs w:val="false"/>
          <w:i w:val="false"/>
          <w:iCs w:val="false"/>
          <w:color w:val="222222"/>
          <w:sz w:val="21"/>
          <w:szCs w:val="21"/>
        </w:rPr>
        <w:t xml:space="preserve"> — which is why a photo is mandatory before a profile can be approved or searchable.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An eight-stage OCR pipeline</w:t>
      </w:r>
      <w:r>
        <w:rPr>
          <w:rFonts w:ascii="Times New Roman" w:cs="Times New Roman" w:eastAsia="Times New Roman" w:hAnsi="Times New Roman"/>
          <w:b w:val="false"/>
          <w:bCs w:val="false"/>
          <w:i w:val="false"/>
          <w:iCs w:val="false"/>
          <w:color w:val="222222"/>
          <w:sz w:val="21"/>
          <w:szCs w:val="21"/>
        </w:rPr>
        <w:t xml:space="preserve"> for Aadhaar-document verification: image loading, image preprocessing (deskewing, contrast correction), text detection and character recognition (via PaddleOCR as the primary engine with an automatic fallback to EasyOCR), structured field extraction, Verhoeff checksum validation of the extracted Aadhaar number, an automatic age gate that hard-rejects a registration where the extracted date of birth indicates the applicant is under eighteen — a rejection that is never subject to administrator override — and a final cross-check between the extracted document fields and what the worker actually typed at registration, surfacing any mismatch for manual confirmation.</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Aadhaar numbers are never stored in full.</w:t>
      </w:r>
      <w:r>
        <w:rPr>
          <w:rFonts w:ascii="Times New Roman" w:cs="Times New Roman" w:eastAsia="Times New Roman" w:hAnsi="Times New Roman"/>
          <w:b w:val="false"/>
          <w:bCs w:val="false"/>
          <w:i w:val="false"/>
          <w:iCs w:val="false"/>
          <w:color w:val="222222"/>
          <w:sz w:val="21"/>
          <w:szCs w:val="21"/>
        </w:rPr>
        <w:t xml:space="preserve"> Only the last four digits (for display, e.g. "XXXX XXXX 9012") and a keyed HMAC-SHA256 hash of the full number are retained; the hash exists purely to detect the same person registering under slightly different details at two different societies, without the platform ever holding the underlying number.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Fields extracted below a configurable confidence threshold are never auto-filled silently</w:t>
      </w:r>
      <w:r>
        <w:rPr>
          <w:rFonts w:ascii="Times New Roman" w:cs="Times New Roman" w:eastAsia="Times New Roman" w:hAnsi="Times New Roman"/>
          <w:b w:val="false"/>
          <w:bCs w:val="false"/>
          <w:i w:val="false"/>
          <w:iCs w:val="false"/>
          <w:color w:val="222222"/>
          <w:sz w:val="21"/>
          <w:szCs w:val="21"/>
        </w:rPr>
        <w:t xml:space="preserve"> — they are flagged for the worker or administrator to confirm or correct by hand, rather than risking an incorrect value entering the record unnoticed.</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Graceful degradation when the OCR/computer-vision stack is unavailable</w:t>
      </w:r>
      <w:r>
        <w:rPr>
          <w:rFonts w:ascii="Times New Roman" w:cs="Times New Roman" w:eastAsia="Times New Roman" w:hAnsi="Times New Roman"/>
          <w:b w:val="false"/>
          <w:bCs w:val="false"/>
          <w:i w:val="false"/>
          <w:iCs w:val="false"/>
          <w:color w:val="222222"/>
          <w:sz w:val="21"/>
          <w:szCs w:val="21"/>
        </w:rPr>
        <w:t xml:space="preserve">: the registration flow falls through cleanly to fully manual data entry, which is treated as a normal, supported state rather than an error condition.</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Purpose-limited, timestamped digital consent</w:t>
      </w:r>
      <w:r>
        <w:rPr>
          <w:rFonts w:ascii="Times New Roman" w:cs="Times New Roman" w:eastAsia="Times New Roman" w:hAnsi="Times New Roman"/>
          <w:b w:val="false"/>
          <w:bCs w:val="false"/>
          <w:i w:val="false"/>
          <w:iCs w:val="false"/>
          <w:color w:val="222222"/>
          <w:sz w:val="21"/>
          <w:szCs w:val="21"/>
        </w:rPr>
        <w:t xml:space="preserve"> captured separately for Aadhaar-based KYC, for face-biometric verification, and for general data processing — three separate consent records rather than one blanket flag, so that withdrawing consent for one purpose (say, face verification) can never silently withdraw consent for another (identity verification underpinning an existing approval).</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police-verification badge product</w:t>
      </w:r>
      <w:r>
        <w:rPr>
          <w:rFonts w:ascii="Times New Roman" w:cs="Times New Roman" w:eastAsia="Times New Roman" w:hAnsi="Times New Roman"/>
          <w:b w:val="false"/>
          <w:bCs w:val="false"/>
          <w:i w:val="false"/>
          <w:iCs w:val="false"/>
          <w:color w:val="222222"/>
          <w:sz w:val="21"/>
          <w:szCs w:val="21"/>
        </w:rPr>
        <w:t xml:space="preserve"> (Section 2.2), displayed with an explicit verification date and expiry, and deliberately excluded from the scoring formula that ranks workers in search — a badge a worker can afford is not permitted to move them up a trust ranking a resident is told to rely on.</w:t>
      </w:r>
    </w:p>
    <w:p>
      <w:pPr>
        <w:pStyle w:val="Heading2"/>
        <w:spacing w:after="120" w:before="260"/>
      </w:pPr>
      <w:r>
        <w:rPr>
          <w:rFonts w:ascii="Times New Roman" w:cs="Times New Roman" w:eastAsia="Times New Roman" w:hAnsi="Times New Roman"/>
          <w:b/>
          <w:bCs/>
          <w:color w:val="2E74B5"/>
          <w:sz w:val="24"/>
          <w:szCs w:val="24"/>
        </w:rPr>
        <w:t xml:space="preserve">4.4 Module 4 — Discovery &amp; Hiring (Recurring Engagements)</w:t>
      </w:r>
    </w:p>
    <w:p>
      <w:pPr>
        <w:spacing w:after="160" w:line="276"/>
      </w:pPr>
      <w:r>
        <w:rPr>
          <w:rFonts w:ascii="Times New Roman" w:cs="Times New Roman" w:eastAsia="Times New Roman" w:hAnsi="Times New Roman"/>
          <w:b w:val="false"/>
          <w:bCs w:val="false"/>
          <w:i w:val="false"/>
          <w:iCs w:val="false"/>
          <w:color w:val="222222"/>
          <w:sz w:val="21"/>
          <w:szCs w:val="21"/>
        </w:rPr>
        <w:t xml:space="preserve">Enables a resident to find and establish a standing, recurring relationship with a domestic worker.</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AI-assisted worker discovery and recommendation</w:t>
      </w:r>
      <w:r>
        <w:rPr>
          <w:rFonts w:ascii="Times New Roman" w:cs="Times New Roman" w:eastAsia="Times New Roman" w:hAnsi="Times New Roman"/>
          <w:b w:val="false"/>
          <w:bCs w:val="false"/>
          <w:i w:val="false"/>
          <w:iCs w:val="false"/>
          <w:color w:val="222222"/>
          <w:sz w:val="21"/>
          <w:szCs w:val="21"/>
        </w:rPr>
        <w:t xml:space="preserve"> (see also Module 12.1), surfacing candidates ranked by a transparent, explainable weighted match score across five signals — trust score (30%), resident rating history (25%), availability overlap with the resident's stated needs (20%), historical responsiveness to past requests (15%), and geographic proximity (10%) — displayed to the resident as a percentage match (e.g., "Recommended Worker: Priya — 98% Match") with a full breakdown of what drove the number, never as an opaque figure.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Cold-start-aware scoring</w:t>
      </w:r>
      <w:r>
        <w:rPr>
          <w:rFonts w:ascii="Times New Roman" w:cs="Times New Roman" w:eastAsia="Times New Roman" w:hAnsi="Times New Roman"/>
          <w:b w:val="false"/>
          <w:bCs w:val="false"/>
          <w:i w:val="false"/>
          <w:iCs w:val="false"/>
          <w:color w:val="222222"/>
          <w:sz w:val="21"/>
          <w:szCs w:val="21"/>
        </w:rPr>
        <w:t xml:space="preserve">: a brand-new worker with no rating or response history is not scored at zero, which would permanently bury them below every worker with any history at all. Ratings and response rates are smoothed toward a neutral prior that shrinks toward the true observed value as real evidence accumulates — a worker who is simply unproven is treated differently from one who is proven to be unreliable.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Hire requests with a response deadline</w:t>
      </w:r>
      <w:r>
        <w:rPr>
          <w:rFonts w:ascii="Times New Roman" w:cs="Times New Roman" w:eastAsia="Times New Roman" w:hAnsi="Times New Roman"/>
          <w:b w:val="false"/>
          <w:bCs w:val="false"/>
          <w:i w:val="false"/>
          <w:iCs w:val="false"/>
          <w:color w:val="222222"/>
          <w:sz w:val="21"/>
          <w:szCs w:val="21"/>
        </w:rPr>
        <w:t xml:space="preserve"> (48 hours by default): a resident proposes recurring terms (days of week, arrival time, expected duration, monthly rate); the worker accepts, declines, or lets the request lapse. An unanswered request that lapses is logged as </w:t>
      </w:r>
      <w:r>
        <w:rPr>
          <w:rFonts w:ascii="Times New Roman" w:cs="Times New Roman" w:eastAsia="Times New Roman" w:hAnsi="Times New Roman"/>
          <w:b/>
          <w:bCs/>
          <w:i w:val="false"/>
          <w:iCs w:val="false"/>
          <w:color w:val="222222"/>
          <w:sz w:val="21"/>
          <w:szCs w:val="21"/>
        </w:rPr>
        <w:t xml:space="preserve">unmet demand</w:t>
      </w:r>
      <w:r>
        <w:rPr>
          <w:rFonts w:ascii="Times New Roman" w:cs="Times New Roman" w:eastAsia="Times New Roman" w:hAnsi="Times New Roman"/>
          <w:b w:val="false"/>
          <w:bCs w:val="false"/>
          <w:i w:val="false"/>
          <w:iCs w:val="false"/>
          <w:color w:val="222222"/>
          <w:sz w:val="21"/>
          <w:szCs w:val="21"/>
        </w:rPr>
        <w:t xml:space="preserve">, giving the society administrator visibility into what workforce a society genuinely needs but does not have.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Engagement lifecycle management</w:t>
      </w:r>
      <w:r>
        <w:rPr>
          <w:rFonts w:ascii="Times New Roman" w:cs="Times New Roman" w:eastAsia="Times New Roman" w:hAnsi="Times New Roman"/>
          <w:b w:val="false"/>
          <w:bCs w:val="false"/>
          <w:i w:val="false"/>
          <w:iCs w:val="false"/>
          <w:color w:val="222222"/>
          <w:sz w:val="21"/>
          <w:szCs w:val="21"/>
        </w:rPr>
        <w:t xml:space="preserve">: pausing and resuming a standing engagement (for example, during a resident's travel) without ending the relationship; and a formal </w:t>
      </w:r>
      <w:r>
        <w:rPr>
          <w:rFonts w:ascii="Times New Roman" w:cs="Times New Roman" w:eastAsia="Times New Roman" w:hAnsi="Times New Roman"/>
          <w:b/>
          <w:bCs/>
          <w:i w:val="false"/>
          <w:iCs w:val="false"/>
          <w:color w:val="222222"/>
          <w:sz w:val="21"/>
          <w:szCs w:val="21"/>
        </w:rPr>
        <w:t xml:space="preserve">ten-day notice period</w:t>
      </w:r>
      <w:r>
        <w:rPr>
          <w:rFonts w:ascii="Times New Roman" w:cs="Times New Roman" w:eastAsia="Times New Roman" w:hAnsi="Times New Roman"/>
          <w:b w:val="false"/>
          <w:bCs w:val="false"/>
          <w:i w:val="false"/>
          <w:iCs w:val="false"/>
          <w:color w:val="222222"/>
          <w:sz w:val="21"/>
          <w:szCs w:val="21"/>
        </w:rPr>
        <w:t xml:space="preserve"> to end a standing engagement in the ordinary course — during which the engagement remains fully active, visits continue, attendance continues to be recorded, and the worker continues to be paid for every day actually worked, right up to and including the last working day. A separate, immediate </w:t>
      </w:r>
      <w:r>
        <w:rPr>
          <w:rFonts w:ascii="Times New Roman" w:cs="Times New Roman" w:eastAsia="Times New Roman" w:hAnsi="Times New Roman"/>
          <w:b/>
          <w:bCs/>
          <w:i w:val="false"/>
          <w:iCs w:val="false"/>
          <w:color w:val="222222"/>
          <w:sz w:val="21"/>
          <w:szCs w:val="21"/>
        </w:rPr>
        <w:t xml:space="preserve">termination</w:t>
      </w:r>
      <w:r>
        <w:rPr>
          <w:rFonts w:ascii="Times New Roman" w:cs="Times New Roman" w:eastAsia="Times New Roman" w:hAnsi="Times New Roman"/>
          <w:b w:val="false"/>
          <w:bCs w:val="false"/>
          <w:i w:val="false"/>
          <w:iCs w:val="false"/>
          <w:color w:val="222222"/>
          <w:sz w:val="21"/>
          <w:szCs w:val="21"/>
        </w:rPr>
        <w:t xml:space="preserve"> path exists for exceptional circumstances (abuse, safety, mutual consent), deliberately kept distinct from the notice-period path so that a worker reporting harassment is never required to keep showing up for ten more days.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No financial penalty for short or absent notice.</w:t>
      </w:r>
      <w:r>
        <w:rPr>
          <w:rFonts w:ascii="Times New Roman" w:cs="Times New Roman" w:eastAsia="Times New Roman" w:hAnsi="Times New Roman"/>
          <w:b w:val="false"/>
          <w:bCs w:val="false"/>
          <w:i w:val="false"/>
          <w:iCs w:val="false"/>
          <w:color w:val="222222"/>
          <w:sz w:val="21"/>
          <w:szCs w:val="21"/>
        </w:rPr>
        <w:t xml:space="preserve"> The platform explicitly does not withhold already-earned wages as an enforcement mechanism for the notice period, on the basis that doing so would be legally exposed and would fall hardest on workers least able to contest it; instead, notice compliance is reflected, non-punitively, in the trust score.</w:t>
      </w:r>
    </w:p>
    <w:p>
      <w:pPr>
        <w:pStyle w:val="Heading2"/>
        <w:spacing w:after="120" w:before="260"/>
      </w:pPr>
      <w:r>
        <w:rPr>
          <w:rFonts w:ascii="Times New Roman" w:cs="Times New Roman" w:eastAsia="Times New Roman" w:hAnsi="Times New Roman"/>
          <w:b/>
          <w:bCs/>
          <w:color w:val="2E74B5"/>
          <w:sz w:val="24"/>
          <w:szCs w:val="24"/>
        </w:rPr>
        <w:t xml:space="preserve">4.5 Module 5 — One-Day Service Booking</w:t>
      </w:r>
    </w:p>
    <w:p>
      <w:pPr>
        <w:spacing w:after="160" w:line="276"/>
      </w:pPr>
      <w:r>
        <w:rPr>
          <w:rFonts w:ascii="Times New Roman" w:cs="Times New Roman" w:eastAsia="Times New Roman" w:hAnsi="Times New Roman"/>
          <w:b w:val="false"/>
          <w:bCs w:val="false"/>
          <w:i w:val="false"/>
          <w:iCs w:val="false"/>
          <w:color w:val="222222"/>
          <w:sz w:val="21"/>
          <w:szCs w:val="21"/>
        </w:rPr>
        <w:t xml:space="preserve">A parallel, deliberately distinct pathway to Module 4 for single, time-bound engagements rather than standing relationships — covering categories such as house shifting and unpacking, festival or deep cleaning, event preparation, temporary cooking, and emergency household assistance.</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predefined, platform-wide catalogue of bookable service categories</w:t>
      </w:r>
      <w:r>
        <w:rPr>
          <w:rFonts w:ascii="Times New Roman" w:cs="Times New Roman" w:eastAsia="Times New Roman" w:hAnsi="Times New Roman"/>
          <w:b w:val="false"/>
          <w:bCs w:val="false"/>
          <w:i w:val="false"/>
          <w:iCs w:val="false"/>
          <w:color w:val="222222"/>
          <w:sz w:val="21"/>
          <w:szCs w:val="21"/>
        </w:rPr>
        <w:t xml:space="preserve">, each carrying an expected duration and an indicative price range shown to the resident before they commit, and mapped to the type of worker qualified to perform it.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Per-date worker availability</w:t>
      </w:r>
      <w:r>
        <w:rPr>
          <w:rFonts w:ascii="Times New Roman" w:cs="Times New Roman" w:eastAsia="Times New Roman" w:hAnsi="Times New Roman"/>
          <w:b w:val="false"/>
          <w:bCs w:val="false"/>
          <w:i w:val="false"/>
          <w:iCs w:val="false"/>
          <w:color w:val="222222"/>
          <w:sz w:val="21"/>
          <w:szCs w:val="21"/>
        </w:rPr>
        <w:t xml:space="preserve">, distinct from a worker's general availability hours, allowing a worker to opt in or out of specific calendar dates for one-off work.</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society-configurable minimum booking notice period</w:t>
      </w:r>
      <w:r>
        <w:rPr>
          <w:rFonts w:ascii="Times New Roman" w:cs="Times New Roman" w:eastAsia="Times New Roman" w:hAnsi="Times New Roman"/>
          <w:b w:val="false"/>
          <w:bCs w:val="false"/>
          <w:i w:val="false"/>
          <w:iCs w:val="false"/>
          <w:color w:val="222222"/>
          <w:sz w:val="21"/>
          <w:szCs w:val="21"/>
        </w:rPr>
        <w:t xml:space="preserve">, with an explicit exemption mechanism for emergency-assistance categories that must be bookable at short notice, where requiring advance availability declaration would defeat the purpose of the category.</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Full booking lifecycle</w:t>
      </w:r>
      <w:r>
        <w:rPr>
          <w:rFonts w:ascii="Times New Roman" w:cs="Times New Roman" w:eastAsia="Times New Roman" w:hAnsi="Times New Roman"/>
          <w:b w:val="false"/>
          <w:bCs w:val="false"/>
          <w:i w:val="false"/>
          <w:iCs w:val="false"/>
          <w:color w:val="222222"/>
          <w:sz w:val="21"/>
          <w:szCs w:val="21"/>
        </w:rPr>
        <w:t xml:space="preserve">: pending confirmation, confirmed, completed, declined, cancelled (with a stored, point-in-time cancellation fee that does not silently change if the fee policy changes later), or automatically expired if never confirmed before the scheduled start time.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Lazy, idempotent expiry</w:t>
      </w:r>
      <w:r>
        <w:rPr>
          <w:rFonts w:ascii="Times New Roman" w:cs="Times New Roman" w:eastAsia="Times New Roman" w:hAnsi="Times New Roman"/>
          <w:b w:val="false"/>
          <w:bCs w:val="false"/>
          <w:i w:val="false"/>
          <w:iCs w:val="false"/>
          <w:color w:val="222222"/>
          <w:sz w:val="21"/>
          <w:szCs w:val="21"/>
        </w:rPr>
        <w:t xml:space="preserve"> of stale unconfirmed bookings and hire requests, evaluated on every relevant read rather than by a background scheduler, consistent with the free-tier infrastructure constraint described in Section 3.4.</w:t>
      </w:r>
    </w:p>
    <w:p>
      <w:pPr>
        <w:pStyle w:val="Heading2"/>
        <w:spacing w:after="120" w:before="260"/>
      </w:pPr>
      <w:r>
        <w:rPr>
          <w:rFonts w:ascii="Times New Roman" w:cs="Times New Roman" w:eastAsia="Times New Roman" w:hAnsi="Times New Roman"/>
          <w:b/>
          <w:bCs/>
          <w:color w:val="2E74B5"/>
          <w:sz w:val="24"/>
          <w:szCs w:val="24"/>
        </w:rPr>
        <w:t xml:space="preserve">4.6 Module 6 — Scheduling &amp; Task Management</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calendar layer beneath both recurring engagements and one-day bookings, deliberately storing the minimum necessary rather than materialising a duplicate, independently-drifting copy of the schedule: a visit's existence is always derived, on read, from the engagement's or booking's own terms.</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Per-engagement task timing and grace windows</w:t>
      </w:r>
      <w:r>
        <w:rPr>
          <w:rFonts w:ascii="Times New Roman" w:cs="Times New Roman" w:eastAsia="Times New Roman" w:hAnsi="Times New Roman"/>
          <w:b w:val="false"/>
          <w:bCs w:val="false"/>
          <w:i w:val="false"/>
          <w:iCs w:val="false"/>
          <w:color w:val="222222"/>
          <w:sz w:val="21"/>
          <w:szCs w:val="21"/>
        </w:rPr>
        <w:t xml:space="preserve">: a resident's expected arrival and departure times for a worker, independent of and adjustable without reopening the underlying agreement, with a configurable grace period (default fifteen minutes) before a visit is considered late.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Worker-marked task completion</w:t>
      </w:r>
      <w:r>
        <w:rPr>
          <w:rFonts w:ascii="Times New Roman" w:cs="Times New Roman" w:eastAsia="Times New Roman" w:hAnsi="Times New Roman"/>
          <w:b w:val="false"/>
          <w:bCs w:val="false"/>
          <w:i w:val="false"/>
          <w:iCs w:val="false"/>
          <w:color w:val="222222"/>
          <w:sz w:val="21"/>
          <w:szCs w:val="21"/>
        </w:rPr>
        <w:t xml:space="preserve">, deliberately independent of gate attendance: a gate scan confirms someone arrived, not that the work was finished, and the two facts are recorded and shown separately so a household can see both and ask if they diverge.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Durable, row-based reminders</w:t>
      </w:r>
      <w:r>
        <w:rPr>
          <w:rFonts w:ascii="Times New Roman" w:cs="Times New Roman" w:eastAsia="Times New Roman" w:hAnsi="Times New Roman"/>
          <w:b w:val="false"/>
          <w:bCs w:val="false"/>
          <w:i w:val="false"/>
          <w:iCs w:val="false"/>
          <w:color w:val="222222"/>
          <w:sz w:val="21"/>
          <w:szCs w:val="21"/>
        </w:rPr>
        <w:t xml:space="preserve"> for upcoming visits and unconfirmed bookings, delivered through Module 10, structured as a database row with a "send after" time rather than a live cron job — consistent with the platform's no-scheduler infrastructure constraint.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Urgent leave ("chutti") with instant, unconditional approval.</w:t>
      </w:r>
      <w:r>
        <w:rPr>
          <w:rFonts w:ascii="Times New Roman" w:cs="Times New Roman" w:eastAsia="Times New Roman" w:hAnsi="Times New Roman"/>
          <w:b w:val="false"/>
          <w:bCs w:val="false"/>
          <w:i w:val="false"/>
          <w:iCs w:val="false"/>
          <w:color w:val="222222"/>
          <w:sz w:val="21"/>
          <w:szCs w:val="21"/>
        </w:rPr>
        <w:t xml:space="preserve"> A worker requesting a day off is approved immediately, with no review step and no requirement to justify the absence — deliberately, because a worker who must wait for permission to stay home with a sick child will simply not show up, denying the household any warning at all. The resident is then asked the one question they can actually answer: whether they need a replacement that day. If they do, a same-day replacement is matched using the existing worker-ranking logic; if a replacement is confirmed, the day's pay is transparently split between the absent worker and the covering worker according to a per-engagement rule (defaulting to the replacement receiving the full day's rate). The salary adjustment for the missed day is never double-counted: attendance-based pro-rating already removes an unworked day from the absent worker's pay, so the leave record only ever adds the transfer to the replacement, never a second deduction from the original worker.</w:t>
      </w:r>
    </w:p>
    <w:p>
      <w:pPr>
        <w:pStyle w:val="Heading2"/>
        <w:spacing w:after="120" w:before="260"/>
      </w:pPr>
      <w:r>
        <w:rPr>
          <w:rFonts w:ascii="Times New Roman" w:cs="Times New Roman" w:eastAsia="Times New Roman" w:hAnsi="Times New Roman"/>
          <w:b/>
          <w:bCs/>
          <w:color w:val="2E74B5"/>
          <w:sz w:val="24"/>
          <w:szCs w:val="24"/>
        </w:rPr>
        <w:t xml:space="preserve">4.7 Module 7 — Attendance &amp; Gate Verification</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physical trust layer confirming that the verified worker at the gate is genuinely who they claim to be, and creating the immutable, timestamped record that Modules 8 (payments) and 9 (trust scoring) both depend on.</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QR-code gate passes</w:t>
      </w:r>
      <w:r>
        <w:rPr>
          <w:rFonts w:ascii="Times New Roman" w:cs="Times New Roman" w:eastAsia="Times New Roman" w:hAnsi="Times New Roman"/>
          <w:b w:val="false"/>
          <w:bCs w:val="false"/>
          <w:i w:val="false"/>
          <w:iCs w:val="false"/>
          <w:color w:val="222222"/>
          <w:sz w:val="21"/>
          <w:szCs w:val="21"/>
        </w:rPr>
        <w:t xml:space="preserve">, opaque (a random identifier rather than a sequential or guessable code), deliverable either as a printed, laminated card for a worker without a reliable smartphone or rendered in-app for one who has, and instantly revocable and reissuable if lost.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Offline-first gate scanning</w:t>
      </w:r>
      <w:r>
        <w:rPr>
          <w:rFonts w:ascii="Times New Roman" w:cs="Times New Roman" w:eastAsia="Times New Roman" w:hAnsi="Times New Roman"/>
          <w:b w:val="false"/>
          <w:bCs w:val="false"/>
          <w:i w:val="false"/>
          <w:iCs w:val="false"/>
          <w:color w:val="222222"/>
          <w:sz w:val="21"/>
          <w:szCs w:val="21"/>
        </w:rPr>
        <w:t xml:space="preserve">: the guard's device caches the day's approved roster locally and makes an entry decision without waiting for a network round trip. Every scan is recorded against a client-generated identifier, minted on the device before the server has ever seen the record, guaranteeing that a later sync of a queued batch — even a batch that is replayed due to a lost connection during the original attempt — can never create a duplicate attendance record.</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Face verification against the worker's registered profile photo</w:t>
      </w:r>
      <w:r>
        <w:rPr>
          <w:rFonts w:ascii="Times New Roman" w:cs="Times New Roman" w:eastAsia="Times New Roman" w:hAnsi="Times New Roman"/>
          <w:b w:val="false"/>
          <w:bCs w:val="false"/>
          <w:i w:val="false"/>
          <w:iCs w:val="false"/>
          <w:color w:val="222222"/>
          <w:sz w:val="21"/>
          <w:szCs w:val="21"/>
        </w:rPr>
        <w:t xml:space="preserve">, using DeepFace, at the guard's discretion during a scan. </w:t>
      </w:r>
      <w:r>
        <w:rPr>
          <w:rFonts w:ascii="Times New Roman" w:cs="Times New Roman" w:eastAsia="Times New Roman" w:hAnsi="Times New Roman"/>
          <w:b/>
          <w:bCs/>
          <w:i w:val="false"/>
          <w:iCs w:val="false"/>
          <w:color w:val="222222"/>
          <w:sz w:val="21"/>
          <w:szCs w:val="21"/>
        </w:rPr>
        <w:t xml:space="preserve">A face match that falls below the confidence threshold is never treated as a denial.</w:t>
      </w:r>
      <w:r>
        <w:rPr>
          <w:rFonts w:ascii="Times New Roman" w:cs="Times New Roman" w:eastAsia="Times New Roman" w:hAnsi="Times New Roman"/>
          <w:b w:val="false"/>
          <w:bCs w:val="false"/>
          <w:i w:val="false"/>
          <w:iCs w:val="false"/>
          <w:color w:val="222222"/>
          <w:sz w:val="21"/>
          <w:szCs w:val="21"/>
        </w:rPr>
        <w:t xml:space="preserve"> It produces a </w:t>
      </w:r>
      <w:r>
        <w:rPr>
          <w:rFonts w:ascii="Consolas" w:cs="Consolas" w:eastAsia="Consolas" w:hAnsi="Consolas"/>
          <w:b w:val="false"/>
          <w:bCs w:val="false"/>
          <w:i w:val="false"/>
          <w:iCs w:val="false"/>
          <w:color w:val="222222"/>
          <w:sz w:val="19"/>
          <w:szCs w:val="19"/>
        </w:rPr>
        <w:t xml:space="preserve">PENDING_REVIEW</w:t>
      </w:r>
      <w:r>
        <w:rPr>
          <w:rFonts w:ascii="Times New Roman" w:cs="Times New Roman" w:eastAsia="Times New Roman" w:hAnsi="Times New Roman"/>
          <w:b w:val="false"/>
          <w:bCs w:val="false"/>
          <w:i w:val="false"/>
          <w:iCs w:val="false"/>
          <w:color w:val="222222"/>
          <w:sz w:val="21"/>
          <w:szCs w:val="21"/>
        </w:rPr>
        <w:t xml:space="preserve"> state that requires the guard to make an explicit, separately logged decision — because face-recognition accuracy degrades for exactly the population this platform serves, and the cost of a false rejection is a lost day's wages for a mistake that was the model's, not the worker's.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tiered fallback for attendance evidence</w:t>
      </w:r>
      <w:r>
        <w:rPr>
          <w:rFonts w:ascii="Times New Roman" w:cs="Times New Roman" w:eastAsia="Times New Roman" w:hAnsi="Times New Roman"/>
          <w:b w:val="false"/>
          <w:bCs w:val="false"/>
          <w:i w:val="false"/>
          <w:iCs w:val="false"/>
          <w:color w:val="222222"/>
          <w:sz w:val="21"/>
          <w:szCs w:val="21"/>
        </w:rPr>
        <w:t xml:space="preserve">, in descending order of strength but never allowing a lower tier to deny entry: (1) QR scan by a guard, optionally with a face check; (2) worker self-check-in from their own phone inside a GPS geofence around the society (loose by design, roughly 250 metres, because consumer GPS accuracy in a built-up area is routinely off by 50–100 metres, and a tight radius would punish a worker standing at the actual gate); (3) resident-scanned printed worker card, for the case where neither a guard nor the worker's own phone is available; and (4) a photograph of the paper attendance register as a last resort, preserved as evidence for later administrator transcription rather than the day's record being lost outright.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complete, append-only audit trail</w:t>
      </w:r>
      <w:r>
        <w:rPr>
          <w:rFonts w:ascii="Times New Roman" w:cs="Times New Roman" w:eastAsia="Times New Roman" w:hAnsi="Times New Roman"/>
          <w:b w:val="false"/>
          <w:bCs w:val="false"/>
          <w:i w:val="false"/>
          <w:iCs w:val="false"/>
          <w:color w:val="222222"/>
          <w:sz w:val="21"/>
          <w:szCs w:val="21"/>
        </w:rPr>
        <w:t xml:space="preserve"> of every entry and exit decision, its verification method, whether it matched an expected booking, and — where a face check or a geofence check fell short — who overrode it and why.</w:t>
      </w:r>
    </w:p>
    <w:p>
      <w:pPr>
        <w:pStyle w:val="Heading2"/>
        <w:spacing w:after="120" w:before="260"/>
      </w:pPr>
      <w:r>
        <w:rPr>
          <w:rFonts w:ascii="Times New Roman" w:cs="Times New Roman" w:eastAsia="Times New Roman" w:hAnsi="Times New Roman"/>
          <w:b/>
          <w:bCs/>
          <w:color w:val="2E74B5"/>
          <w:sz w:val="24"/>
          <w:szCs w:val="24"/>
        </w:rPr>
        <w:t xml:space="preserve">4.8 Module 8 — Payments &amp; Payouts</w:t>
      </w:r>
    </w:p>
    <w:p>
      <w:pPr>
        <w:spacing w:after="160" w:line="276"/>
      </w:pPr>
      <w:r>
        <w:rPr>
          <w:rFonts w:ascii="Times New Roman" w:cs="Times New Roman" w:eastAsia="Times New Roman" w:hAnsi="Times New Roman"/>
          <w:b w:val="false"/>
          <w:bCs w:val="false"/>
          <w:i w:val="false"/>
          <w:iCs w:val="false"/>
          <w:color w:val="222222"/>
          <w:sz w:val="21"/>
          <w:szCs w:val="21"/>
        </w:rPr>
        <w:t xml:space="preserve">Moves money between residents and workers with a complete, auditable paper trail, while the platform itself never touches or stores a card number or bank account detail — all sensitive payment-instrument handling is delegated to Razorpay.</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All money is stored as integer paise</w:t>
      </w:r>
      <w:r>
        <w:rPr>
          <w:rFonts w:ascii="Times New Roman" w:cs="Times New Roman" w:eastAsia="Times New Roman" w:hAnsi="Times New Roman"/>
          <w:b w:val="false"/>
          <w:bCs w:val="false"/>
          <w:i w:val="false"/>
          <w:iCs w:val="false"/>
          <w:color w:val="222222"/>
          <w:sz w:val="21"/>
          <w:szCs w:val="21"/>
        </w:rPr>
        <w:t xml:space="preserve">, never as a float or a rupee decimal, eliminating the rounding drift a floating-point ledger would otherwise accumulate against Razorpay's own paise-denominated accounting.</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Payments cover recurring monthly salaries, one-day bookings, tips, refunds, and same-day replacement earnings</w:t>
      </w:r>
      <w:r>
        <w:rPr>
          <w:rFonts w:ascii="Times New Roman" w:cs="Times New Roman" w:eastAsia="Times New Roman" w:hAnsi="Times New Roman"/>
          <w:b w:val="false"/>
          <w:bCs w:val="false"/>
          <w:i w:val="false"/>
          <w:iCs w:val="false"/>
          <w:color w:val="222222"/>
          <w:sz w:val="21"/>
          <w:szCs w:val="21"/>
        </w:rPr>
        <w:t xml:space="preserve">, each independently trackable, and each carrying a human-readable, date-prefixed receipt number.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payment is never marked paid on the strength of a client's own claim.</w:t>
      </w:r>
      <w:r>
        <w:rPr>
          <w:rFonts w:ascii="Times New Roman" w:cs="Times New Roman" w:eastAsia="Times New Roman" w:hAnsi="Times New Roman"/>
          <w:b w:val="false"/>
          <w:bCs w:val="false"/>
          <w:i w:val="false"/>
          <w:iCs w:val="false"/>
          <w:color w:val="222222"/>
          <w:sz w:val="21"/>
          <w:szCs w:val="21"/>
        </w:rPr>
        <w:t xml:space="preserve"> Settlement is recognised only through a signature-verified message from Razorpay — either the checkout response the client hands back or a verified webhook — because the client is the party with an incentive to misreport success.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Every Razorpay webhook received is stored and deduplicated by its provider-issued event identifier</w:t>
      </w:r>
      <w:r>
        <w:rPr>
          <w:rFonts w:ascii="Times New Roman" w:cs="Times New Roman" w:eastAsia="Times New Roman" w:hAnsi="Times New Roman"/>
          <w:b w:val="false"/>
          <w:bCs w:val="false"/>
          <w:i w:val="false"/>
          <w:iCs w:val="false"/>
          <w:color w:val="222222"/>
          <w:sz w:val="21"/>
          <w:szCs w:val="21"/>
        </w:rPr>
        <w:t xml:space="preserve">, both for idempotency (a retried webhook must never cause a double settlement) and for audit (a disputed payment's raw, signature-verified evidence remains available rather than being discarded once applied).</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configurable, engagement-level replacement-earnings split</w:t>
      </w:r>
      <w:r>
        <w:rPr>
          <w:rFonts w:ascii="Times New Roman" w:cs="Times New Roman" w:eastAsia="Times New Roman" w:hAnsi="Times New Roman"/>
          <w:b w:val="false"/>
          <w:bCs w:val="false"/>
          <w:i w:val="false"/>
          <w:iCs w:val="false"/>
          <w:color w:val="222222"/>
          <w:sz w:val="21"/>
          <w:szCs w:val="21"/>
        </w:rPr>
        <w:t xml:space="preserve"> for same-day cover arranged through the urgent-leave flow (Module 6), defaulting to the replacement worker receiving the full day's rate, with any rounding remainder resolved in favour of whoever actually did the work.</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lightweight payment-dispute record</w:t>
      </w:r>
      <w:r>
        <w:rPr>
          <w:rFonts w:ascii="Times New Roman" w:cs="Times New Roman" w:eastAsia="Times New Roman" w:hAnsi="Times New Roman"/>
          <w:b w:val="false"/>
          <w:bCs w:val="false"/>
          <w:i w:val="false"/>
          <w:iCs w:val="false"/>
          <w:color w:val="222222"/>
          <w:sz w:val="21"/>
          <w:szCs w:val="21"/>
        </w:rPr>
        <w:t xml:space="preserve">, feeding directly into the same complaint-handling workflow used by every other issue a resident or worker might raise (Module 11), rather than running a second, parallel resolution process.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The society-subscription tier and platform-fee mechanics described in Section 2</w:t>
      </w:r>
      <w:r>
        <w:rPr>
          <w:rFonts w:ascii="Times New Roman" w:cs="Times New Roman" w:eastAsia="Times New Roman" w:hAnsi="Times New Roman"/>
          <w:b w:val="false"/>
          <w:bCs w:val="false"/>
          <w:i w:val="false"/>
          <w:iCs w:val="false"/>
          <w:color w:val="222222"/>
          <w:sz w:val="21"/>
          <w:szCs w:val="21"/>
        </w:rPr>
        <w:t xml:space="preserve"> are implemented directly in this module, including a due-date on every payment (so overdue wages are visible and reportable) and a platform fee column that exists in the schema today, frozen at zero, so that turning on pricing is a configuration change rather than a schema migration made under commercial pressure.</w:t>
      </w:r>
    </w:p>
    <w:p>
      <w:pPr>
        <w:pStyle w:val="Heading2"/>
        <w:spacing w:after="120" w:before="260"/>
      </w:pPr>
      <w:r>
        <w:rPr>
          <w:rFonts w:ascii="Times New Roman" w:cs="Times New Roman" w:eastAsia="Times New Roman" w:hAnsi="Times New Roman"/>
          <w:b/>
          <w:bCs/>
          <w:color w:val="2E74B5"/>
          <w:sz w:val="24"/>
          <w:szCs w:val="24"/>
        </w:rPr>
        <w:t xml:space="preserve">4.9 Module 9 — Ratings, Reviews &amp; Trust Score</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two-way accountability layer: both a resident and a worker rate each other after every completed engagement or booking, and a computed </w:t>
      </w:r>
      <w:r>
        <w:rPr>
          <w:rFonts w:ascii="Times New Roman" w:cs="Times New Roman" w:eastAsia="Times New Roman" w:hAnsi="Times New Roman"/>
          <w:b/>
          <w:bCs/>
          <w:i w:val="false"/>
          <w:iCs w:val="false"/>
          <w:color w:val="222222"/>
          <w:sz w:val="21"/>
          <w:szCs w:val="21"/>
        </w:rPr>
        <w:t xml:space="preserve">trust score</w:t>
      </w:r>
      <w:r>
        <w:rPr>
          <w:rFonts w:ascii="Times New Roman" w:cs="Times New Roman" w:eastAsia="Times New Roman" w:hAnsi="Times New Roman"/>
          <w:b w:val="false"/>
          <w:bCs w:val="false"/>
          <w:i w:val="false"/>
          <w:iCs w:val="false"/>
          <w:color w:val="222222"/>
          <w:sz w:val="21"/>
          <w:szCs w:val="21"/>
        </w:rPr>
        <w:t xml:space="preserve"> aggregates that history into a single, explainable number for each side.</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worker's trust score</w:t>
      </w:r>
      <w:r>
        <w:rPr>
          <w:rFonts w:ascii="Times New Roman" w:cs="Times New Roman" w:eastAsia="Times New Roman" w:hAnsi="Times New Roman"/>
          <w:b w:val="false"/>
          <w:bCs w:val="false"/>
          <w:i w:val="false"/>
          <w:iCs w:val="false"/>
          <w:color w:val="222222"/>
          <w:sz w:val="21"/>
          <w:szCs w:val="21"/>
        </w:rPr>
        <w:t xml:space="preserve"> is a weighted composite of resident ratings (35%), attendance reliability against the expected schedule (30%), identity-verification completeness (20%), and job-completion rate (15%).</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resident's trust score</w:t>
      </w:r>
      <w:r>
        <w:rPr>
          <w:rFonts w:ascii="Times New Roman" w:cs="Times New Roman" w:eastAsia="Times New Roman" w:hAnsi="Times New Roman"/>
          <w:b w:val="false"/>
          <w:bCs w:val="false"/>
          <w:i w:val="false"/>
          <w:iCs w:val="false"/>
          <w:color w:val="222222"/>
          <w:sz w:val="21"/>
          <w:szCs w:val="21"/>
        </w:rPr>
        <w:t xml:space="preserve"> is a weighted composite of payment punctuality (45%), worker-given ratings (35%), and upheld complaint history (20%) — weighted toward payment because that is what most directly and immediately harms a worker when it fails.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Every score is required to be explainable, not a black box</w:t>
      </w:r>
      <w:r>
        <w:rPr>
          <w:rFonts w:ascii="Times New Roman" w:cs="Times New Roman" w:eastAsia="Times New Roman" w:hAnsi="Times New Roman"/>
          <w:b w:val="false"/>
          <w:bCs w:val="false"/>
          <w:i w:val="false"/>
          <w:iCs w:val="false"/>
          <w:color w:val="222222"/>
          <w:sz w:val="21"/>
          <w:szCs w:val="21"/>
        </w:rPr>
        <w:t xml:space="preserve"> — a stated design requirement carried through to the implementation, where every computed score is stored alongside a full, per-component breakdown frozen at the moment it was computed, so a disputed score can always be answered with the exact reasoning that produced it, not a fresh recalculation against today's data.</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Cold-start smoothing</w:t>
      </w:r>
      <w:r>
        <w:rPr>
          <w:rFonts w:ascii="Times New Roman" w:cs="Times New Roman" w:eastAsia="Times New Roman" w:hAnsi="Times New Roman"/>
          <w:b w:val="false"/>
          <w:bCs w:val="false"/>
          <w:i w:val="false"/>
          <w:iCs w:val="false"/>
          <w:color w:val="222222"/>
          <w:sz w:val="21"/>
          <w:szCs w:val="21"/>
        </w:rPr>
        <w:t xml:space="preserve"> applied identically to the trust score as to the discovery-ranking formula in Module 4: a worker or resident with no history yet is not scored at zero, which would otherwise create a self-reinforcing freeze-out where a newcomer can never get the first job that would let them earn a first rating.</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separate sentiment-and-theme layer</w:t>
      </w:r>
      <w:r>
        <w:rPr>
          <w:rFonts w:ascii="Times New Roman" w:cs="Times New Roman" w:eastAsia="Times New Roman" w:hAnsi="Times New Roman"/>
          <w:b w:val="false"/>
          <w:bCs w:val="false"/>
          <w:i w:val="false"/>
          <w:iCs w:val="false"/>
          <w:color w:val="222222"/>
          <w:sz w:val="21"/>
          <w:szCs w:val="21"/>
        </w:rPr>
        <w:t xml:space="preserve"> over free-text reviews (punctuality, hygiene, behaviour, quality), stored independently of the raw review text so that the original words a person wrote are never overwritten by a model's interpretation of them, and so that re-analysis with an improved model never requires re-collecting reviews.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Suspicious-rating detection</w:t>
      </w:r>
      <w:r>
        <w:rPr>
          <w:rFonts w:ascii="Times New Roman" w:cs="Times New Roman" w:eastAsia="Times New Roman" w:hAnsi="Times New Roman"/>
          <w:b w:val="false"/>
          <w:bCs w:val="false"/>
          <w:i w:val="false"/>
          <w:iCs w:val="false"/>
          <w:color w:val="222222"/>
          <w:sz w:val="21"/>
          <w:szCs w:val="21"/>
        </w:rPr>
        <w:t xml:space="preserve"> (a burst of ratings from one account in a short window, suspiciously uniform scores, near-duplicate review text) that flags a rating for administrator review rather than silently deleting it — an automatic deletion would make a false positive both unrecoverable and unappealable, and a genuine, deserved burst of five-star reviews after a great week must not be punished by a heuristic.</w:t>
      </w:r>
    </w:p>
    <w:p>
      <w:pPr>
        <w:pStyle w:val="Heading2"/>
        <w:spacing w:after="120" w:before="260"/>
      </w:pPr>
      <w:r>
        <w:rPr>
          <w:rFonts w:ascii="Times New Roman" w:cs="Times New Roman" w:eastAsia="Times New Roman" w:hAnsi="Times New Roman"/>
          <w:b/>
          <w:bCs/>
          <w:color w:val="2E74B5"/>
          <w:sz w:val="24"/>
          <w:szCs w:val="24"/>
        </w:rPr>
        <w:t xml:space="preserve">4.10 Module 10 — Notifications</w:t>
      </w:r>
    </w:p>
    <w:p>
      <w:pPr>
        <w:spacing w:after="160" w:line="276"/>
      </w:pPr>
      <w:r>
        <w:rPr>
          <w:rFonts w:ascii="Times New Roman" w:cs="Times New Roman" w:eastAsia="Times New Roman" w:hAnsi="Times New Roman"/>
          <w:b w:val="false"/>
          <w:bCs w:val="false"/>
          <w:i w:val="false"/>
          <w:iCs w:val="false"/>
          <w:color w:val="222222"/>
          <w:sz w:val="21"/>
          <w:szCs w:val="21"/>
        </w:rPr>
        <w:t xml:space="preserve">Keeps every role informed across a primary channel (push) and a documented fallback (SMS, and in all cases an in-app notification centre), so that a single delivery failure never becomes a missed booking, a missed payment, or a missed gate entry.</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The in-app notification record is the durable system of record</w:t>
      </w:r>
      <w:r>
        <w:rPr>
          <w:rFonts w:ascii="Times New Roman" w:cs="Times New Roman" w:eastAsia="Times New Roman" w:hAnsi="Times New Roman"/>
          <w:b w:val="false"/>
          <w:bCs w:val="false"/>
          <w:i w:val="false"/>
          <w:iCs w:val="false"/>
          <w:color w:val="222222"/>
          <w:sz w:val="21"/>
          <w:szCs w:val="21"/>
        </w:rPr>
        <w:t xml:space="preserve">, written before any delivery attempt is made and preserved regardless of what happens to the push or SMS attempt that follows — the alternative design (log only on confirmed delivery) is exactly how a worker never learns their registration was approved because a push token had silently expired.</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Category-based notification preferences</w:t>
      </w:r>
      <w:r>
        <w:rPr>
          <w:rFonts w:ascii="Times New Roman" w:cs="Times New Roman" w:eastAsia="Times New Roman" w:hAnsi="Times New Roman"/>
          <w:b w:val="false"/>
          <w:bCs w:val="false"/>
          <w:i w:val="false"/>
          <w:iCs w:val="false"/>
          <w:color w:val="222222"/>
          <w:sz w:val="21"/>
          <w:szCs w:val="21"/>
        </w:rPr>
        <w:t xml:space="preserve">, allowing a user to mute categories such as ratings or scheduling reminders they do not wish to be alerted about.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Three categories that can never be muted, by any user, under any setting</w:t>
      </w:r>
      <w:r>
        <w:rPr>
          <w:rFonts w:ascii="Times New Roman" w:cs="Times New Roman" w:eastAsia="Times New Roman" w:hAnsi="Times New Roman"/>
          <w:b w:val="false"/>
          <w:bCs w:val="false"/>
          <w:i w:val="false"/>
          <w:iCs w:val="false"/>
          <w:color w:val="222222"/>
          <w:sz w:val="21"/>
          <w:szCs w:val="21"/>
        </w:rPr>
        <w:t xml:space="preserve">: gate-entry alerts, urgent-leave and replacement notices, and account/verification notices — enforced at the point the mute request is processed, not merely hidden from the settings screen, so a client cannot even attempt to silence something the platform has a duty to deliver.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Graceful degradation to SMS</w:t>
      </w:r>
      <w:r>
        <w:rPr>
          <w:rFonts w:ascii="Times New Roman" w:cs="Times New Roman" w:eastAsia="Times New Roman" w:hAnsi="Times New Roman"/>
          <w:b w:val="false"/>
          <w:bCs w:val="false"/>
          <w:i w:val="false"/>
          <w:iCs w:val="false"/>
          <w:color w:val="222222"/>
          <w:sz w:val="21"/>
          <w:szCs w:val="21"/>
        </w:rPr>
        <w:t xml:space="preserve"> when push delivery fails or was never possible (no registered device token), and the SMS gateway integration is provider-agnostic by design rather than tied to a specific vendor's SDK.</w:t>
      </w:r>
    </w:p>
    <w:p>
      <w:pPr>
        <w:pStyle w:val="Heading2"/>
        <w:spacing w:after="120" w:before="260"/>
      </w:pPr>
      <w:r>
        <w:rPr>
          <w:rFonts w:ascii="Times New Roman" w:cs="Times New Roman" w:eastAsia="Times New Roman" w:hAnsi="Times New Roman"/>
          <w:b/>
          <w:bCs/>
          <w:color w:val="2E74B5"/>
          <w:sz w:val="24"/>
          <w:szCs w:val="24"/>
        </w:rPr>
        <w:t xml:space="preserve">4.11 Module 11 — Admin, Reporting &amp; Complaints</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society administrator's operational command centre: an accountable complaint-handling workflow with a real deadline, a worker and resident directory, and visibility into demand the platform failed to serve.</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Either a resident or a worker may raise a complaint against the other, or against the society itself</w:t>
      </w:r>
      <w:r>
        <w:rPr>
          <w:rFonts w:ascii="Times New Roman" w:cs="Times New Roman" w:eastAsia="Times New Roman" w:hAnsi="Times New Roman"/>
          <w:b w:val="false"/>
          <w:bCs w:val="false"/>
          <w:i w:val="false"/>
          <w:iCs w:val="false"/>
          <w:color w:val="222222"/>
          <w:sz w:val="21"/>
          <w:szCs w:val="21"/>
        </w:rPr>
        <w:t xml:space="preserve"> — a worker with no channel to report a household that withholds pay or behaves abusively has only the option of quietly leaving, which is precisely the power imbalance the platform exists to reduce.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service-level deadline computed once, at the moment a complaint is raised, and never silently moved afterward.</w:t>
      </w:r>
      <w:r>
        <w:rPr>
          <w:rFonts w:ascii="Times New Roman" w:cs="Times New Roman" w:eastAsia="Times New Roman" w:hAnsi="Times New Roman"/>
          <w:b w:val="false"/>
          <w:bCs w:val="false"/>
          <w:i w:val="false"/>
          <w:iCs w:val="false"/>
          <w:color w:val="222222"/>
          <w:sz w:val="21"/>
          <w:szCs w:val="21"/>
        </w:rPr>
        <w:t xml:space="preserve"> Escalating an overdue complaint raises its priority — which re-sorts the administrator's queue, the actual purpose of escalating — without ever changing the deadline it was measured against, so escalation statistics remain meaningful over time.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Deadlines that only run during realistic waking hours</w:t>
      </w:r>
      <w:r>
        <w:rPr>
          <w:rFonts w:ascii="Times New Roman" w:cs="Times New Roman" w:eastAsia="Times New Roman" w:hAnsi="Times New Roman"/>
          <w:b w:val="false"/>
          <w:bCs w:val="false"/>
          <w:i w:val="false"/>
          <w:iCs w:val="false"/>
          <w:color w:val="222222"/>
          <w:sz w:val="21"/>
          <w:szCs w:val="21"/>
        </w:rPr>
        <w:t xml:space="preserve"> (08:00–21:00 local time, all seven days of the week, because a domestic worker denied entry on a Saturday cannot be told to wait until Monday), so that a complaint raised late at night is not falsely marked breached before anyone could plausibly have acted on it. Indicative service windows: 4 active hours for urgent-priority complaints, 24 for high, and 72 for normal.</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Complaints are never deleted, only formally closed</w:t>
      </w:r>
      <w:r>
        <w:rPr>
          <w:rFonts w:ascii="Times New Roman" w:cs="Times New Roman" w:eastAsia="Times New Roman" w:hAnsi="Times New Roman"/>
          <w:b w:val="false"/>
          <w:bCs w:val="false"/>
          <w:i w:val="false"/>
          <w:iCs w:val="false"/>
          <w:color w:val="222222"/>
          <w:sz w:val="21"/>
          <w:szCs w:val="21"/>
        </w:rPr>
        <w:t xml:space="preserve"> (resolved, rejected, or withdrawn), with every status transition recorded in an append-only history — including for a complaint an administrator might understandably prefer did not exist, such as one raised against a worker.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Safety-category complaints are automatically escalated in priority the moment they are raised</w:t>
      </w:r>
      <w:r>
        <w:rPr>
          <w:rFonts w:ascii="Times New Roman" w:cs="Times New Roman" w:eastAsia="Times New Roman" w:hAnsi="Times New Roman"/>
          <w:b w:val="false"/>
          <w:bCs w:val="false"/>
          <w:i w:val="false"/>
          <w:iCs w:val="false"/>
          <w:color w:val="222222"/>
          <w:sz w:val="21"/>
          <w:szCs w:val="21"/>
        </w:rPr>
        <w:t xml:space="preserve">, so a safety concern can never sit in a queue behind an ordinary billing question.</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An unmet-demand log</w:t>
      </w:r>
      <w:r>
        <w:rPr>
          <w:rFonts w:ascii="Times New Roman" w:cs="Times New Roman" w:eastAsia="Times New Roman" w:hAnsi="Times New Roman"/>
          <w:b w:val="false"/>
          <w:bCs w:val="false"/>
          <w:i w:val="false"/>
          <w:iCs w:val="false"/>
          <w:color w:val="222222"/>
          <w:sz w:val="21"/>
          <w:szCs w:val="21"/>
        </w:rPr>
        <w:t xml:space="preserve">, recording every hire request that lapsed unanswered and every booking or replacement request that could not be filled, giving a society's committee a concrete, actionable answer to "what kind of workforce should we actively be recruiting?" rather than an impression.</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worker and resident directory</w:t>
      </w:r>
      <w:r>
        <w:rPr>
          <w:rFonts w:ascii="Times New Roman" w:cs="Times New Roman" w:eastAsia="Times New Roman" w:hAnsi="Times New Roman"/>
          <w:b w:val="false"/>
          <w:bCs w:val="false"/>
          <w:i w:val="false"/>
          <w:iCs w:val="false"/>
          <w:color w:val="222222"/>
          <w:sz w:val="21"/>
          <w:szCs w:val="21"/>
        </w:rPr>
        <w:t xml:space="preserve"> built directly on customised Django Admin views, purpose-built for searching and filtering across the full population — deliberately distinct from the one-record-at-a-time approval screens used during onboarding, which serve a different job.</w:t>
      </w:r>
    </w:p>
    <w:p>
      <w:pPr>
        <w:pStyle w:val="Heading2"/>
        <w:spacing w:after="120" w:before="260"/>
      </w:pPr>
      <w:r>
        <w:rPr>
          <w:rFonts w:ascii="Times New Roman" w:cs="Times New Roman" w:eastAsia="Times New Roman" w:hAnsi="Times New Roman"/>
          <w:b/>
          <w:bCs/>
          <w:color w:val="2E74B5"/>
          <w:sz w:val="24"/>
          <w:szCs w:val="24"/>
        </w:rPr>
        <w:t xml:space="preserve">4.12 Module 12 — AI Layer</w:t>
      </w:r>
    </w:p>
    <w:p>
      <w:pPr>
        <w:spacing w:after="160" w:line="276"/>
      </w:pPr>
      <w:r>
        <w:rPr>
          <w:rFonts w:ascii="Times New Roman" w:cs="Times New Roman" w:eastAsia="Times New Roman" w:hAnsi="Times New Roman"/>
          <w:b w:val="false"/>
          <w:bCs w:val="false"/>
          <w:i w:val="false"/>
          <w:iCs w:val="false"/>
          <w:color w:val="222222"/>
          <w:sz w:val="21"/>
          <w:szCs w:val="21"/>
        </w:rPr>
        <w:t xml:space="preserve">A provider-agnostic layer powering every AI-assisted feature in the platform, engineered around one governing principle: </w:t>
      </w:r>
      <w:r>
        <w:rPr>
          <w:rFonts w:ascii="Times New Roman" w:cs="Times New Roman" w:eastAsia="Times New Roman" w:hAnsi="Times New Roman"/>
          <w:b/>
          <w:bCs/>
          <w:i w:val="false"/>
          <w:iCs w:val="false"/>
          <w:color w:val="222222"/>
          <w:sz w:val="21"/>
          <w:szCs w:val="21"/>
        </w:rPr>
        <w:t xml:space="preserve">every AI-backed feature must answer identically, if less richly, when no AI provider is reachable at all</w:t>
      </w:r>
      <w:r>
        <w:rPr>
          <w:rFonts w:ascii="Times New Roman" w:cs="Times New Roman" w:eastAsia="Times New Roman" w:hAnsi="Times New Roman"/>
          <w:b w:val="false"/>
          <w:bCs w:val="false"/>
          <w:i w:val="false"/>
          <w:iCs w:val="false"/>
          <w:color w:val="222222"/>
          <w:sz w:val="21"/>
          <w:szCs w:val="21"/>
        </w:rPr>
        <w:t xml:space="preserve"> — a requirement enforced by a shared utility that every AI-backed feature is required to route through, which takes both the AI path and the deterministic fallback path as mandatory arguments.</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capabilities: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four-tier provider fallback chain</w:t>
      </w:r>
      <w:r>
        <w:rPr>
          <w:rFonts w:ascii="Times New Roman" w:cs="Times New Roman" w:eastAsia="Times New Roman" w:hAnsi="Times New Roman"/>
          <w:b w:val="false"/>
          <w:bCs w:val="false"/>
          <w:i w:val="false"/>
          <w:iCs w:val="false"/>
          <w:color w:val="222222"/>
          <w:sz w:val="21"/>
          <w:szCs w:val="21"/>
        </w:rPr>
        <w:t xml:space="preserve">, attempted strictly in order until one succeeds: Google Gemini (primary), Groq, OpenRouter (restricted to its free-tier catalogue), and Hugging Face Inference (last resort). Each tier is skipped silently, not treated as an error, when no API key is configured for it — a deployment running with only one provider configured is a normal, fully-supported state.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Locally enforced rate limiting</w:t>
      </w:r>
      <w:r>
        <w:rPr>
          <w:rFonts w:ascii="Times New Roman" w:cs="Times New Roman" w:eastAsia="Times New Roman" w:hAnsi="Times New Roman"/>
          <w:b w:val="false"/>
          <w:bCs w:val="false"/>
          <w:i w:val="false"/>
          <w:iCs w:val="false"/>
          <w:color w:val="222222"/>
          <w:sz w:val="21"/>
          <w:szCs w:val="21"/>
        </w:rPr>
        <w:t xml:space="preserve"> against the tightest of the four tiers' published free-tier ceilings (20 requests per minute and 50 per day on the OpenRouter free catalogue), so the chain fails over cleanly to the next tier rather than burning a request only to be told no by the provider.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AI worker recommendation</w:t>
      </w:r>
      <w:r>
        <w:rPr>
          <w:rFonts w:ascii="Times New Roman" w:cs="Times New Roman" w:eastAsia="Times New Roman" w:hAnsi="Times New Roman"/>
          <w:b w:val="false"/>
          <w:bCs w:val="false"/>
          <w:i w:val="false"/>
          <w:iCs w:val="false"/>
          <w:color w:val="222222"/>
          <w:sz w:val="21"/>
          <w:szCs w:val="21"/>
        </w:rPr>
        <w:t xml:space="preserve"> (Module 4.3/12.1): the same explainable, weighted scoring formula described in Section 4.4, exposed as an independent internal service specifically so that it can later be replaced by a learned model without any change to the hiring or booking flows that depend on it.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conversational assistant</w:t>
      </w:r>
      <w:r>
        <w:rPr>
          <w:rFonts w:ascii="Times New Roman" w:cs="Times New Roman" w:eastAsia="Times New Roman" w:hAnsi="Times New Roman"/>
          <w:b w:val="false"/>
          <w:bCs w:val="false"/>
          <w:i w:val="false"/>
          <w:iCs w:val="false"/>
          <w:color w:val="222222"/>
          <w:sz w:val="21"/>
          <w:szCs w:val="21"/>
        </w:rPr>
        <w:t xml:space="preserve"> answering natural-language questions about schedule, payments, bookings, and availability. Deliberately architected so that </w:t>
      </w:r>
      <w:r>
        <w:rPr>
          <w:rFonts w:ascii="Times New Roman" w:cs="Times New Roman" w:eastAsia="Times New Roman" w:hAnsi="Times New Roman"/>
          <w:b/>
          <w:bCs/>
          <w:i w:val="false"/>
          <w:iCs w:val="false"/>
          <w:color w:val="222222"/>
          <w:sz w:val="21"/>
          <w:szCs w:val="21"/>
        </w:rPr>
        <w:t xml:space="preserve">the model only ever identifies which question is being asked; every figure in every answer is read directly from the same database queries the corresponding screen already uses.</w:t>
      </w:r>
      <w:r>
        <w:rPr>
          <w:rFonts w:ascii="Times New Roman" w:cs="Times New Roman" w:eastAsia="Times New Roman" w:hAnsi="Times New Roman"/>
          <w:b w:val="false"/>
          <w:bCs w:val="false"/>
          <w:i w:val="false"/>
          <w:iCs w:val="false"/>
          <w:color w:val="222222"/>
          <w:sz w:val="21"/>
          <w:szCs w:val="21"/>
        </w:rPr>
        <w:t xml:space="preserve"> The model never composes the answer itself and never sees the underlying financial or personal data — a design choice made explicitly because a plausible-sounding but wrong number about someone's pay is worse than no chatbot at all, and the harm of such an error would fall on the party least able to dispute it.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OCR-based Aadhaar field extraction</w:t>
      </w:r>
      <w:r>
        <w:rPr>
          <w:rFonts w:ascii="Times New Roman" w:cs="Times New Roman" w:eastAsia="Times New Roman" w:hAnsi="Times New Roman"/>
          <w:b w:val="false"/>
          <w:bCs w:val="false"/>
          <w:i w:val="false"/>
          <w:iCs w:val="false"/>
          <w:color w:val="222222"/>
          <w:sz w:val="21"/>
          <w:szCs w:val="21"/>
        </w:rPr>
        <w:t xml:space="preserve"> (Module 3), and </w:t>
      </w:r>
      <w:r>
        <w:rPr>
          <w:rFonts w:ascii="Times New Roman" w:cs="Times New Roman" w:eastAsia="Times New Roman" w:hAnsi="Times New Roman"/>
          <w:b/>
          <w:bCs/>
          <w:i w:val="false"/>
          <w:iCs w:val="false"/>
          <w:color w:val="222222"/>
          <w:sz w:val="21"/>
          <w:szCs w:val="21"/>
        </w:rPr>
        <w:t xml:space="preserve">face verification at the gate</w:t>
      </w:r>
      <w:r>
        <w:rPr>
          <w:rFonts w:ascii="Times New Roman" w:cs="Times New Roman" w:eastAsia="Times New Roman" w:hAnsi="Times New Roman"/>
          <w:b w:val="false"/>
          <w:bCs w:val="false"/>
          <w:i w:val="false"/>
          <w:iCs w:val="false"/>
          <w:color w:val="222222"/>
          <w:sz w:val="21"/>
          <w:szCs w:val="21"/>
        </w:rPr>
        <w:t xml:space="preserve"> (Module 7), both described in their respective functional sections above and both routed through the same graceful-degradation convention.</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Review summarisation, sentiment analysis, and complaint classification</w:t>
      </w:r>
      <w:r>
        <w:rPr>
          <w:rFonts w:ascii="Times New Roman" w:cs="Times New Roman" w:eastAsia="Times New Roman" w:hAnsi="Times New Roman"/>
          <w:b w:val="false"/>
          <w:bCs w:val="false"/>
          <w:i w:val="false"/>
          <w:iCs w:val="false"/>
          <w:color w:val="222222"/>
          <w:sz w:val="21"/>
          <w:szCs w:val="21"/>
        </w:rPr>
        <w:t xml:space="preserve">, condensing large volumes of free-text feedback into concise, actionable insight for administrators and residents, and automatically routing free-text complaints into the fixed category set used by Module 11.</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Complete usage logging without ever logging user content.</w:t>
      </w:r>
      <w:r>
        <w:rPr>
          <w:rFonts w:ascii="Times New Roman" w:cs="Times New Roman" w:eastAsia="Times New Roman" w:hAnsi="Times New Roman"/>
          <w:b w:val="false"/>
          <w:bCs w:val="false"/>
          <w:i w:val="false"/>
          <w:iCs w:val="false"/>
          <w:color w:val="222222"/>
          <w:sz w:val="21"/>
          <w:szCs w:val="21"/>
        </w:rPr>
        <w:t xml:space="preserve"> What is recorded is </w:t>
      </w:r>
      <w:r>
        <w:rPr>
          <w:rFonts w:ascii="Times New Roman" w:cs="Times New Roman" w:eastAsia="Times New Roman" w:hAnsi="Times New Roman"/>
          <w:b w:val="false"/>
          <w:bCs w:val="false"/>
          <w:i/>
          <w:iCs/>
          <w:color w:val="222222"/>
          <w:sz w:val="21"/>
          <w:szCs w:val="21"/>
        </w:rPr>
        <w:t xml:space="preserve">how the AI layer behaved</w:t>
      </w:r>
      <w:r>
        <w:rPr>
          <w:rFonts w:ascii="Times New Roman" w:cs="Times New Roman" w:eastAsia="Times New Roman" w:hAnsi="Times New Roman"/>
          <w:b w:val="false"/>
          <w:bCs w:val="false"/>
          <w:i w:val="false"/>
          <w:iCs w:val="false"/>
          <w:color w:val="222222"/>
          <w:sz w:val="21"/>
          <w:szCs w:val="21"/>
        </w:rPr>
        <w:t xml:space="preserve"> — which tier answered a request, how long it took, whether the answer came from a provider or from the deterministic fallback, and the length (never the content) of the prompt and response — because the underlying questions and answers frequently concern a named individual's pay or reputation, and duplicating that content into a second, less-governed log table would undermine the same data-minimisation discipline applied to Aadhaar handling in Module 3.</w:t>
      </w:r>
    </w:p>
    <w:p>
      <w:pPr>
        <w:pStyle w:val="Heading2"/>
        <w:spacing w:after="120" w:before="260"/>
      </w:pPr>
      <w:r>
        <w:rPr>
          <w:rFonts w:ascii="Times New Roman" w:cs="Times New Roman" w:eastAsia="Times New Roman" w:hAnsi="Times New Roman"/>
          <w:b/>
          <w:bCs/>
          <w:color w:val="2E74B5"/>
          <w:sz w:val="24"/>
          <w:szCs w:val="24"/>
        </w:rPr>
        <w:t xml:space="preserve">4.13 Module 13 — Offline &amp; Resilience Conventions</w:t>
      </w:r>
    </w:p>
    <w:p>
      <w:pPr>
        <w:spacing w:after="160" w:line="276"/>
      </w:pPr>
      <w:r>
        <w:rPr>
          <w:rFonts w:ascii="Times New Roman" w:cs="Times New Roman" w:eastAsia="Times New Roman" w:hAnsi="Times New Roman"/>
          <w:b w:val="false"/>
          <w:bCs w:val="false"/>
          <w:i w:val="false"/>
          <w:iCs w:val="false"/>
          <w:color w:val="222222"/>
          <w:sz w:val="21"/>
          <w:szCs w:val="21"/>
        </w:rPr>
        <w:t xml:space="preserve">Not a user-facing feature in its own right, but a set of engineering conventions applied consistently across every module where network connectivity or the presence of a specific person (a guard, an administrator) cannot be guaranteed — and a requirement that is tested and enforced as code, not left as prose that erodes over time.</w:t>
      </w:r>
    </w:p>
    <w:p>
      <w:pPr>
        <w:spacing w:after="160" w:line="276"/>
      </w:pPr>
      <w:r>
        <w:rPr>
          <w:rFonts w:ascii="Times New Roman" w:cs="Times New Roman" w:eastAsia="Times New Roman" w:hAnsi="Times New Roman"/>
          <w:b w:val="false"/>
          <w:bCs w:val="false"/>
          <w:i w:val="false"/>
          <w:iCs w:val="false"/>
          <w:color w:val="222222"/>
          <w:sz w:val="21"/>
          <w:szCs w:val="21"/>
        </w:rPr>
        <w:t xml:space="preserve">Key conventions: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Client-generated identifiers for anything recorded offline.</w:t>
      </w:r>
      <w:r>
        <w:rPr>
          <w:rFonts w:ascii="Times New Roman" w:cs="Times New Roman" w:eastAsia="Times New Roman" w:hAnsi="Times New Roman"/>
          <w:b w:val="false"/>
          <w:bCs w:val="false"/>
          <w:i w:val="false"/>
          <w:iCs w:val="false"/>
          <w:color w:val="222222"/>
          <w:sz w:val="21"/>
          <w:szCs w:val="21"/>
        </w:rPr>
        <w:t xml:space="preserve"> A record created while a device has no connectivity is addressed by an identifier the device itself mints before the server has ever seen it, which is the only way a later retry of a queued action can be made safely idempotent.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Idempotent synchronisation endpoints.</w:t>
      </w:r>
      <w:r>
        <w:rPr>
          <w:rFonts w:ascii="Times New Roman" w:cs="Times New Roman" w:eastAsia="Times New Roman" w:hAnsi="Times New Roman"/>
          <w:b w:val="false"/>
          <w:bCs w:val="false"/>
          <w:i w:val="false"/>
          <w:iCs w:val="false"/>
          <w:color w:val="222222"/>
          <w:sz w:val="21"/>
          <w:szCs w:val="21"/>
        </w:rPr>
        <w:t xml:space="preserve"> Submitting the same offline-queued event twice must be reported as success both times, never as an error on the second attempt, and one malformed record in a batch must reject only that record — never the entire batch — so a single bad row cannot cost a whole day's worth of attendance data.</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tiered evidence model for attendance</w:t>
      </w:r>
      <w:r>
        <w:rPr>
          <w:rFonts w:ascii="Times New Roman" w:cs="Times New Roman" w:eastAsia="Times New Roman" w:hAnsi="Times New Roman"/>
          <w:b w:val="false"/>
          <w:bCs w:val="false"/>
          <w:i w:val="false"/>
          <w:iCs w:val="false"/>
          <w:color w:val="222222"/>
          <w:sz w:val="21"/>
          <w:szCs w:val="21"/>
        </w:rPr>
        <w:t xml:space="preserve"> (detailed in Section 4.7) in which every fallback tier below the primary guard-scanned QR check can, at most, escalate to a request for human review — never issue an automatic denial.</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mandatory, structurally enforced AI fallback</w:t>
      </w:r>
      <w:r>
        <w:rPr>
          <w:rFonts w:ascii="Times New Roman" w:cs="Times New Roman" w:eastAsia="Times New Roman" w:hAnsi="Times New Roman"/>
          <w:b w:val="false"/>
          <w:bCs w:val="false"/>
          <w:i w:val="false"/>
          <w:iCs w:val="false"/>
          <w:color w:val="222222"/>
          <w:sz w:val="21"/>
          <w:szCs w:val="21"/>
        </w:rPr>
        <w:t xml:space="preserve"> (detailed in Section 4.12) for every AI-backed feature in the platform.</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single governing rule that recurs across every one of the above:</w:t>
      </w:r>
      <w:r>
        <w:rPr>
          <w:rFonts w:ascii="Times New Roman" w:cs="Times New Roman" w:eastAsia="Times New Roman" w:hAnsi="Times New Roman"/>
          <w:b w:val="false"/>
          <w:bCs w:val="false"/>
          <w:i w:val="false"/>
          <w:iCs w:val="false"/>
          <w:color w:val="222222"/>
          <w:sz w:val="21"/>
          <w:szCs w:val="21"/>
        </w:rPr>
        <w:t xml:space="preserve"> no automated tier — a face-match score, a GPS fix, an OCR confidence value, an AI provider's answer — may on its own refuse a person something that costs them income or access. The measurements available today are not accurate enough to justify that cost, and the people most often misread by them are the ones with the least ability to contest the outcome.</w:t>
      </w:r>
    </w:p>
    <w:p>
      <w:pPr>
        <w:pStyle w:val="Heading1"/>
        <w:pageBreakBefore/>
        <w:spacing w:after="160" w:before="320"/>
      </w:pPr>
      <w:r>
        <w:rPr>
          <w:rFonts w:ascii="Times New Roman" w:cs="Times New Roman" w:eastAsia="Times New Roman" w:hAnsi="Times New Roman"/>
          <w:b/>
          <w:bCs/>
          <w:color w:val="1F3864"/>
          <w:sz w:val="30"/>
          <w:szCs w:val="30"/>
        </w:rPr>
        <w:t xml:space="preserve">5. Non-Functional Requirements</w:t>
      </w:r>
    </w:p>
    <w:p>
      <w:pPr>
        <w:pStyle w:val="Heading2"/>
        <w:spacing w:after="120" w:before="260"/>
      </w:pPr>
      <w:r>
        <w:rPr>
          <w:rFonts w:ascii="Times New Roman" w:cs="Times New Roman" w:eastAsia="Times New Roman" w:hAnsi="Times New Roman"/>
          <w:b/>
          <w:bCs/>
          <w:color w:val="2E74B5"/>
          <w:sz w:val="24"/>
          <w:szCs w:val="24"/>
        </w:rPr>
        <w:t xml:space="preserve">5.1 Performance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Gate-verification decisions must be made and recorded </w:t>
      </w:r>
      <w:r>
        <w:rPr>
          <w:rFonts w:ascii="Times New Roman" w:cs="Times New Roman" w:eastAsia="Times New Roman" w:hAnsi="Times New Roman"/>
          <w:b/>
          <w:bCs/>
          <w:i w:val="false"/>
          <w:iCs w:val="false"/>
          <w:color w:val="222222"/>
          <w:sz w:val="21"/>
          <w:szCs w:val="21"/>
        </w:rPr>
        <w:t xml:space="preserve">without waiting on a network round trip</w:t>
      </w:r>
      <w:r>
        <w:rPr>
          <w:rFonts w:ascii="Times New Roman" w:cs="Times New Roman" w:eastAsia="Times New Roman" w:hAnsi="Times New Roman"/>
          <w:b w:val="false"/>
          <w:bCs w:val="false"/>
          <w:i w:val="false"/>
          <w:iCs w:val="false"/>
          <w:color w:val="222222"/>
          <w:sz w:val="21"/>
          <w:szCs w:val="21"/>
        </w:rPr>
        <w:t xml:space="preserve"> — a direct consequence of the offline-first architecture in Section 4.7/4.13, not merely a target latency, since the guard's device decides locally and reconciles with the server afterward.</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OCR-based document field extraction is expected to complete within a few seconds per document under normal conditions on the primary engine, with an automatic fallback engine and a manual-entry path when timing or engine availability makes this infeasible.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The API is designed to serve each society independently under Django REST Framework's standard pagination (20 records per page by default) to keep list-view response times bounded regardless of how much history a society has accumulated.</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The platform is built and tested to a per-society, per-society-cluster concurrency profile appropriate to a residential community of up to several hundred flats; horizontal scaling across societies is a matter of infrastructure tier (Section 5.7), not architecture, given the multi-tenant, society-scoped design described in Section 3.1.</w:t>
      </w:r>
    </w:p>
    <w:p>
      <w:pPr>
        <w:pStyle w:val="Heading2"/>
        <w:spacing w:after="120" w:before="260"/>
      </w:pPr>
      <w:r>
        <w:rPr>
          <w:rFonts w:ascii="Times New Roman" w:cs="Times New Roman" w:eastAsia="Times New Roman" w:hAnsi="Times New Roman"/>
          <w:b/>
          <w:bCs/>
          <w:color w:val="2E74B5"/>
          <w:sz w:val="24"/>
          <w:szCs w:val="24"/>
        </w:rPr>
        <w:t xml:space="preserve">5.2 Security</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Role-Based Access Control</w:t>
      </w:r>
      <w:r>
        <w:rPr>
          <w:rFonts w:ascii="Times New Roman" w:cs="Times New Roman" w:eastAsia="Times New Roman" w:hAnsi="Times New Roman"/>
          <w:b w:val="false"/>
          <w:bCs w:val="false"/>
          <w:i w:val="false"/>
          <w:iCs w:val="false"/>
          <w:color w:val="222222"/>
          <w:sz w:val="21"/>
          <w:szCs w:val="21"/>
        </w:rPr>
        <w:t xml:space="preserve"> is enforced on every endpoint by default-deny: an endpoint must explicitly declare who may access it, rather than being open unless restricted.</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Multi-tenant data isolation is structural</w:t>
      </w:r>
      <w:r>
        <w:rPr>
          <w:rFonts w:ascii="Times New Roman" w:cs="Times New Roman" w:eastAsia="Times New Roman" w:hAnsi="Times New Roman"/>
          <w:b w:val="false"/>
          <w:bCs w:val="false"/>
          <w:i w:val="false"/>
          <w:iCs w:val="false"/>
          <w:color w:val="222222"/>
          <w:sz w:val="21"/>
          <w:szCs w:val="21"/>
        </w:rPr>
        <w:t xml:space="preserve">: every model holding society-specific data carries a society reference that every corresponding query is filtered against, preventing one society's administrator, guard, or resident from ever reading another society's data through a shared endpoint.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Aadhaar numbers are never stored in full.</w:t>
      </w:r>
      <w:r>
        <w:rPr>
          <w:rFonts w:ascii="Times New Roman" w:cs="Times New Roman" w:eastAsia="Times New Roman" w:hAnsi="Times New Roman"/>
          <w:b w:val="false"/>
          <w:bCs w:val="false"/>
          <w:i w:val="false"/>
          <w:iCs w:val="false"/>
          <w:color w:val="222222"/>
          <w:sz w:val="21"/>
          <w:szCs w:val="21"/>
        </w:rPr>
        <w:t xml:space="preserve"> Only a masked last-four-digit display value and a keyed cryptographic hash (for duplicate detection only) are retained, and other personally identifiable information is protected in line with the same principle of minimisation.</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The platform never stores card or bank account details.</w:t>
      </w:r>
      <w:r>
        <w:rPr>
          <w:rFonts w:ascii="Times New Roman" w:cs="Times New Roman" w:eastAsia="Times New Roman" w:hAnsi="Times New Roman"/>
          <w:b w:val="false"/>
          <w:bCs w:val="false"/>
          <w:i w:val="false"/>
          <w:iCs w:val="false"/>
          <w:color w:val="222222"/>
          <w:sz w:val="21"/>
          <w:szCs w:val="21"/>
        </w:rPr>
        <w:t xml:space="preserve"> All such data is handled exclusively by Razorpay, a PCI-DSS-compliant payment gateway, and every payment webhook received from it is signature-verified before being trusted.</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face-verification match that falls below the confidence threshold is never treated as a denial of entry.</w:t>
      </w:r>
      <w:r>
        <w:rPr>
          <w:rFonts w:ascii="Times New Roman" w:cs="Times New Roman" w:eastAsia="Times New Roman" w:hAnsi="Times New Roman"/>
          <w:b w:val="false"/>
          <w:bCs w:val="false"/>
          <w:i w:val="false"/>
          <w:iCs w:val="false"/>
          <w:color w:val="222222"/>
          <w:sz w:val="21"/>
          <w:szCs w:val="21"/>
        </w:rPr>
        <w:t xml:space="preserve"> It is routed to a guard for an explicit, separately logged decision — a security design choice made specifically because the underlying measurement is least reliable for the population the platform serves, and a false rejection has a direct livelihood cost.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Authentication uses short-lived JWT access tokens with a longer-lived, rotating refresh token</w:t>
      </w:r>
      <w:r>
        <w:rPr>
          <w:rFonts w:ascii="Times New Roman" w:cs="Times New Roman" w:eastAsia="Times New Roman" w:hAnsi="Times New Roman"/>
          <w:b w:val="false"/>
          <w:bCs w:val="false"/>
          <w:i w:val="false"/>
          <w:iCs w:val="false"/>
          <w:color w:val="222222"/>
          <w:sz w:val="21"/>
          <w:szCs w:val="21"/>
        </w:rPr>
        <w:t xml:space="preserve">, with immediate device-level revocation available to an administrator for a lost or stolen device, without requiring that device to authenticate first.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Purpose-limited, timestamped, individually-revocable consent</w:t>
      </w:r>
      <w:r>
        <w:rPr>
          <w:rFonts w:ascii="Times New Roman" w:cs="Times New Roman" w:eastAsia="Times New Roman" w:hAnsi="Times New Roman"/>
          <w:b w:val="false"/>
          <w:bCs w:val="false"/>
          <w:i w:val="false"/>
          <w:iCs w:val="false"/>
          <w:color w:val="222222"/>
          <w:sz w:val="21"/>
          <w:szCs w:val="21"/>
        </w:rPr>
        <w:t xml:space="preserve"> is captured for each distinct sensitive-data-processing purpose (Aadhaar-based KYC, face-biometric verification, general data processing), rather than a single blanket consent flag.</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All client-server communication occurs over HTTPS.</w:t>
      </w:r>
    </w:p>
    <w:p>
      <w:pPr>
        <w:pStyle w:val="Heading2"/>
        <w:spacing w:after="120" w:before="260"/>
      </w:pPr>
      <w:r>
        <w:rPr>
          <w:rFonts w:ascii="Times New Roman" w:cs="Times New Roman" w:eastAsia="Times New Roman" w:hAnsi="Times New Roman"/>
          <w:b/>
          <w:bCs/>
          <w:color w:val="2E74B5"/>
          <w:sz w:val="24"/>
          <w:szCs w:val="24"/>
        </w:rPr>
        <w:t xml:space="preserve">5.3 Scalability</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The platform's data model is </w:t>
      </w:r>
      <w:r>
        <w:rPr>
          <w:rFonts w:ascii="Times New Roman" w:cs="Times New Roman" w:eastAsia="Times New Roman" w:hAnsi="Times New Roman"/>
          <w:b/>
          <w:bCs/>
          <w:i w:val="false"/>
          <w:iCs w:val="false"/>
          <w:color w:val="222222"/>
          <w:sz w:val="21"/>
          <w:szCs w:val="21"/>
        </w:rPr>
        <w:t xml:space="preserve">multi-tenant by construction, keyed on society</w:t>
      </w:r>
      <w:r>
        <w:rPr>
          <w:rFonts w:ascii="Times New Roman" w:cs="Times New Roman" w:eastAsia="Times New Roman" w:hAnsi="Times New Roman"/>
          <w:b w:val="false"/>
          <w:bCs w:val="false"/>
          <w:i w:val="false"/>
          <w:iCs w:val="false"/>
          <w:color w:val="222222"/>
          <w:sz w:val="21"/>
          <w:szCs w:val="21"/>
        </w:rPr>
        <w:t xml:space="preserve">, so onboarding an additional society requires no architectural change — only the creation of a new </w:t>
      </w:r>
      <w:r>
        <w:rPr>
          <w:rFonts w:ascii="Consolas" w:cs="Consolas" w:eastAsia="Consolas" w:hAnsi="Consolas"/>
          <w:b w:val="false"/>
          <w:bCs w:val="false"/>
          <w:i w:val="false"/>
          <w:iCs w:val="false"/>
          <w:color w:val="222222"/>
          <w:sz w:val="19"/>
          <w:szCs w:val="19"/>
        </w:rPr>
        <w:t xml:space="preserve">Society</w:t>
      </w:r>
      <w:r>
        <w:rPr>
          <w:rFonts w:ascii="Times New Roman" w:cs="Times New Roman" w:eastAsia="Times New Roman" w:hAnsi="Times New Roman"/>
          <w:b w:val="false"/>
          <w:bCs w:val="false"/>
          <w:i w:val="false"/>
          <w:iCs w:val="false"/>
          <w:color w:val="222222"/>
          <w:sz w:val="21"/>
          <w:szCs w:val="21"/>
        </w:rPr>
        <w:t xml:space="preserve"> record and its administrative approval.</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The AI layer's four-tier provider fallback and locally enforced rate limiting are designed specifically so that growth in AI-feature usage degrades gracefully (falling through to a later tier, then to a deterministic non-AI fallback) rather than failing outright once a free-tier ceiling is reached.</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The absence of a background task scheduler in the current infrastructure tier is addressed by idempotent, bounded sweep operations (Section 3.4) that scale naturally with read traffic rather than requiring a dedicated worker process — and the same sweeps can be moved onto a genuine scheduled job without any change to their underlying logic once infrastructure allows it.</w:t>
      </w:r>
    </w:p>
    <w:p>
      <w:pPr>
        <w:pStyle w:val="Heading2"/>
        <w:spacing w:after="120" w:before="260"/>
      </w:pPr>
      <w:r>
        <w:rPr>
          <w:rFonts w:ascii="Times New Roman" w:cs="Times New Roman" w:eastAsia="Times New Roman" w:hAnsi="Times New Roman"/>
          <w:b/>
          <w:bCs/>
          <w:color w:val="2E74B5"/>
          <w:sz w:val="24"/>
          <w:szCs w:val="24"/>
        </w:rPr>
        <w:t xml:space="preserve">5.4 Reliability &amp; Availability</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Every AI, OCR, and face-verification capability has a working, tested manual or deterministic fallback that is shipped in the same change as the capability itself</w:t>
      </w:r>
      <w:r>
        <w:rPr>
          <w:rFonts w:ascii="Times New Roman" w:cs="Times New Roman" w:eastAsia="Times New Roman" w:hAnsi="Times New Roman"/>
          <w:b w:val="false"/>
          <w:bCs w:val="false"/>
          <w:i w:val="false"/>
          <w:iCs w:val="false"/>
          <w:color w:val="222222"/>
          <w:sz w:val="21"/>
          <w:szCs w:val="21"/>
        </w:rPr>
        <w:t xml:space="preserve">, not added retroactively after a provider outage — enforced by requiring both paths as mandatory arguments to a single shared utility, described in Section 4.12.</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Gate-verification functionality is designed to keep working through both network loss and AI-service unavailability</w:t>
      </w:r>
      <w:r>
        <w:rPr>
          <w:rFonts w:ascii="Times New Roman" w:cs="Times New Roman" w:eastAsia="Times New Roman" w:hAnsi="Times New Roman"/>
          <w:b w:val="false"/>
          <w:bCs w:val="false"/>
          <w:i w:val="false"/>
          <w:iCs w:val="false"/>
          <w:color w:val="222222"/>
          <w:sz w:val="21"/>
          <w:szCs w:val="21"/>
        </w:rPr>
        <w:t xml:space="preserve">, falling back in sequence from a guard's connected QR scan, to an offline-cached scan reconciled later, to a GPS-based self-check-in, to a resident-scanned printed card, to a photographed paper register — at every tier stopping short of an automatic denial.</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Payment settlement state is only ever advanced by a cryptographically verified message from the payment gateway</w:t>
      </w:r>
      <w:r>
        <w:rPr>
          <w:rFonts w:ascii="Times New Roman" w:cs="Times New Roman" w:eastAsia="Times New Roman" w:hAnsi="Times New Roman"/>
          <w:b w:val="false"/>
          <w:bCs w:val="false"/>
          <w:i w:val="false"/>
          <w:iCs w:val="false"/>
          <w:color w:val="222222"/>
          <w:sz w:val="21"/>
          <w:szCs w:val="21"/>
        </w:rPr>
        <w:t xml:space="preserve">, never by a client's own assertion, and every webhook received is durably logged and deduplicated by its provider-issued event identifier, so a retried delivery can never cause a double settlement.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three-year minimum retention</w:t>
      </w:r>
      <w:r>
        <w:rPr>
          <w:rFonts w:ascii="Times New Roman" w:cs="Times New Roman" w:eastAsia="Times New Roman" w:hAnsi="Times New Roman"/>
          <w:b w:val="false"/>
          <w:bCs w:val="false"/>
          <w:i w:val="false"/>
          <w:iCs w:val="false"/>
          <w:color w:val="222222"/>
          <w:sz w:val="21"/>
          <w:szCs w:val="21"/>
        </w:rPr>
        <w:t xml:space="preserve"> is maintained for the audit trail covering bookings, attendance events, payments, gate entries and exits, and complaint actions, and </w:t>
      </w:r>
      <w:r>
        <w:rPr>
          <w:rFonts w:ascii="Times New Roman" w:cs="Times New Roman" w:eastAsia="Times New Roman" w:hAnsi="Times New Roman"/>
          <w:b/>
          <w:bCs/>
          <w:i w:val="false"/>
          <w:iCs w:val="false"/>
          <w:color w:val="222222"/>
          <w:sz w:val="21"/>
          <w:szCs w:val="21"/>
        </w:rPr>
        <w:t xml:space="preserve">financial transaction records are retained for a minimum of seven years</w:t>
      </w:r>
      <w:r>
        <w:rPr>
          <w:rFonts w:ascii="Times New Roman" w:cs="Times New Roman" w:eastAsia="Times New Roman" w:hAnsi="Times New Roman"/>
          <w:b w:val="false"/>
          <w:bCs w:val="false"/>
          <w:i w:val="false"/>
          <w:iCs w:val="false"/>
          <w:color w:val="222222"/>
          <w:sz w:val="21"/>
          <w:szCs w:val="21"/>
        </w:rPr>
        <w:t xml:space="preserve"> to satisfy standard statutory audit expectations.</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Awareness of the current hosting tier's own reliability characteristics — an inactive free web service goes to sleep and incurs a cold start of roughly fifty seconds on its next request, and a free-tier database project pauses after seven days of total inactivity — is built into the operational plan via a lightweight external keep-alive check and an explicit user-facing "waking up the server" state in the mobile client, rather than presenting a slow first response as an unexplained failure.</w:t>
      </w:r>
    </w:p>
    <w:p>
      <w:pPr>
        <w:pStyle w:val="Heading2"/>
        <w:spacing w:after="120" w:before="260"/>
      </w:pPr>
      <w:r>
        <w:rPr>
          <w:rFonts w:ascii="Times New Roman" w:cs="Times New Roman" w:eastAsia="Times New Roman" w:hAnsi="Times New Roman"/>
          <w:b/>
          <w:bCs/>
          <w:color w:val="2E74B5"/>
          <w:sz w:val="24"/>
          <w:szCs w:val="24"/>
        </w:rPr>
        <w:t xml:space="preserve">5.5 Usability &amp; Accessibility</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A first-time resident or worker is expected to be able to complete registration and their first meaningful action (a booking, a hire, or an attendance mark) </w:t>
      </w:r>
      <w:r>
        <w:rPr>
          <w:rFonts w:ascii="Times New Roman" w:cs="Times New Roman" w:eastAsia="Times New Roman" w:hAnsi="Times New Roman"/>
          <w:b/>
          <w:bCs/>
          <w:i w:val="false"/>
          <w:iCs w:val="false"/>
          <w:color w:val="222222"/>
          <w:sz w:val="21"/>
          <w:szCs w:val="21"/>
        </w:rPr>
        <w:t xml:space="preserve">without external training, within approximately five minutes.</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The interface favours </w:t>
      </w:r>
      <w:r>
        <w:rPr>
          <w:rFonts w:ascii="Times New Roman" w:cs="Times New Roman" w:eastAsia="Times New Roman" w:hAnsi="Times New Roman"/>
          <w:b/>
          <w:bCs/>
          <w:i w:val="false"/>
          <w:iCs w:val="false"/>
          <w:color w:val="222222"/>
          <w:sz w:val="21"/>
          <w:szCs w:val="21"/>
        </w:rPr>
        <w:t xml:space="preserve">clear iconography and simple language</w:t>
      </w:r>
      <w:r>
        <w:rPr>
          <w:rFonts w:ascii="Times New Roman" w:cs="Times New Roman" w:eastAsia="Times New Roman" w:hAnsi="Times New Roman"/>
          <w:b w:val="false"/>
          <w:bCs w:val="false"/>
          <w:i w:val="false"/>
          <w:iCs w:val="false"/>
          <w:color w:val="222222"/>
          <w:sz w:val="21"/>
          <w:szCs w:val="21"/>
        </w:rPr>
        <w:t xml:space="preserve"> over dense text, to remain usable across a wide range of digital literacy levels among both residents and workers.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Multilingual support (English, Hindi, Marathi) is a present-day, core capability</w:t>
      </w:r>
      <w:r>
        <w:rPr>
          <w:rFonts w:ascii="Times New Roman" w:cs="Times New Roman" w:eastAsia="Times New Roman" w:hAnsi="Times New Roman"/>
          <w:b w:val="false"/>
          <w:bCs w:val="false"/>
          <w:i w:val="false"/>
          <w:iCs w:val="false"/>
          <w:color w:val="222222"/>
          <w:sz w:val="21"/>
          <w:szCs w:val="21"/>
        </w:rPr>
        <w:t xml:space="preserve">, not a planned enhancement, in direct recognition of the linguistic diversity of the workforce the platform serves.</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Attendance, booking, and gate-verification workflows are designed so that a worker without a reliable smartphone is never excluded outright: a printed, laminated QR card and a resident-operated scan fallback exist specifically for this case.</w:t>
      </w:r>
    </w:p>
    <w:p>
      <w:pPr>
        <w:pStyle w:val="Heading2"/>
        <w:spacing w:after="120" w:before="260"/>
      </w:pPr>
      <w:r>
        <w:rPr>
          <w:rFonts w:ascii="Times New Roman" w:cs="Times New Roman" w:eastAsia="Times New Roman" w:hAnsi="Times New Roman"/>
          <w:b/>
          <w:bCs/>
          <w:color w:val="2E74B5"/>
          <w:sz w:val="24"/>
          <w:szCs w:val="24"/>
        </w:rPr>
        <w:t xml:space="preserve">5.6 Auditability &amp; Compliance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A complete, append-only audit trail is maintained across bookings, attendance events, gate entries and exits, payments, and complaint actions, retained for a minimum of three years, with financial records retained for a minimum of seven years.</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Every computed trust score and worker-recommendation ranking is stored with a full, frozen, per-component breakdown at the time it was computed, so that a disputed figure can be explained using the exact reasoning that produced it rather than a fresh recalculation against today's data.</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Data handling for government-issued identity documents follows a deliberately conservative, minimisation-first posture (masked display, hashed-only storage, purpose-limited consent capture) consistent with the intent of India's Digital Personal Data Protection Act, 2023 and UIDAI's restrictions on private-sector Aadhaar storage — implemented as a considered engineering default, and explicitly not a substitute for formal legal review as the platform scales toward handling identity documents at production volume.</w:t>
      </w:r>
    </w:p>
    <w:p>
      <w:pPr>
        <w:pStyle w:val="ListParagraph"/>
        <w:numPr>
          <w:ilvl w:val="0"/>
          <w:numId w:val="1"/>
        </w:numPr>
        <w:spacing w:after="100" w:line="276"/>
        <w:ind w:left="403" w:hanging="259"/>
      </w:pPr>
      <w:r>
        <w:rPr>
          <w:rFonts w:ascii="Times New Roman" w:cs="Times New Roman" w:eastAsia="Times New Roman" w:hAnsi="Times New Roman"/>
          <w:b w:val="false"/>
          <w:bCs w:val="false"/>
          <w:i w:val="false"/>
          <w:iCs w:val="false"/>
          <w:color w:val="222222"/>
          <w:sz w:val="21"/>
          <w:szCs w:val="21"/>
        </w:rPr>
        <w:t xml:space="preserve">The system supports data export in CSV and PDF formats for attendance, payment, and complaint reporting, giving a society administrator a portable copy of records the platform holds on their behalf.</w:t>
      </w:r>
    </w:p>
    <w:p>
      <w:pPr>
        <w:pStyle w:val="Heading2"/>
        <w:spacing w:after="120" w:before="260"/>
      </w:pPr>
      <w:r>
        <w:rPr>
          <w:rFonts w:ascii="Times New Roman" w:cs="Times New Roman" w:eastAsia="Times New Roman" w:hAnsi="Times New Roman"/>
          <w:b/>
          <w:bCs/>
          <w:color w:val="2E74B5"/>
          <w:sz w:val="24"/>
          <w:szCs w:val="24"/>
        </w:rPr>
        <w:t xml:space="preserve">5.7 Deployment Requirements &amp; Infrastructure Strategy</w:t>
      </w:r>
    </w:p>
    <w:p>
      <w:pPr>
        <w:spacing w:after="160" w:line="276"/>
      </w:pPr>
      <w:r>
        <w:rPr>
          <w:rFonts w:ascii="Times New Roman" w:cs="Times New Roman" w:eastAsia="Times New Roman" w:hAnsi="Times New Roman"/>
          <w:b w:val="false"/>
          <w:bCs w:val="false"/>
          <w:i w:val="false"/>
          <w:iCs w:val="false"/>
          <w:color w:val="222222"/>
          <w:sz w:val="21"/>
          <w:szCs w:val="21"/>
        </w:rPr>
        <w:t xml:space="preserve">Sathify's current deployment is deliberately built entirely on free-tier infrastructure, and that constraint is treated as a first-class architectural input rather than a temporary inconvenience to be engineered around later: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API hosting</w:t>
      </w:r>
      <w:r>
        <w:rPr>
          <w:rFonts w:ascii="Times New Roman" w:cs="Times New Roman" w:eastAsia="Times New Roman" w:hAnsi="Times New Roman"/>
          <w:b w:val="false"/>
          <w:bCs w:val="false"/>
          <w:i w:val="false"/>
          <w:iCs w:val="false"/>
          <w:color w:val="222222"/>
          <w:sz w:val="21"/>
          <w:szCs w:val="21"/>
        </w:rPr>
        <w:t xml:space="preserve">: a single Render free web service (Singapore region), built via </w:t>
      </w:r>
      <w:r>
        <w:rPr>
          <w:rFonts w:ascii="Consolas" w:cs="Consolas" w:eastAsia="Consolas" w:hAnsi="Consolas"/>
          <w:b w:val="false"/>
          <w:bCs w:val="false"/>
          <w:i w:val="false"/>
          <w:iCs w:val="false"/>
          <w:color w:val="222222"/>
          <w:sz w:val="19"/>
          <w:szCs w:val="19"/>
        </w:rPr>
        <w:t xml:space="preserve">pip install -r requirements/prod.txt</w:t>
      </w:r>
      <w:r>
        <w:rPr>
          <w:rFonts w:ascii="Times New Roman" w:cs="Times New Roman" w:eastAsia="Times New Roman" w:hAnsi="Times New Roman"/>
          <w:b w:val="false"/>
          <w:bCs w:val="false"/>
          <w:i w:val="false"/>
          <w:iCs w:val="false"/>
          <w:color w:val="222222"/>
          <w:sz w:val="21"/>
          <w:szCs w:val="21"/>
        </w:rPr>
        <w:t xml:space="preserve">, static assets collected and database migrations applied automatically on every deploy, served by Gunicorn with one worker and four threads to fit within the tier's 512 MB memory ceiling.</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Database</w:t>
      </w:r>
      <w:r>
        <w:rPr>
          <w:rFonts w:ascii="Times New Roman" w:cs="Times New Roman" w:eastAsia="Times New Roman" w:hAnsi="Times New Roman"/>
          <w:b w:val="false"/>
          <w:bCs w:val="false"/>
          <w:i w:val="false"/>
          <w:iCs w:val="false"/>
          <w:color w:val="222222"/>
          <w:sz w:val="21"/>
          <w:szCs w:val="21"/>
        </w:rPr>
        <w:t xml:space="preserve">: PostgreSQL on Supabase's free tier, accessed through its connection pooler (not a direct connection) specifically because the always-restarting nature of a free hosting instance exhausts a low direct-connection ceiling quickly, with connection reuse configured to reduce churn further.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Media storage</w:t>
      </w:r>
      <w:r>
        <w:rPr>
          <w:rFonts w:ascii="Times New Roman" w:cs="Times New Roman" w:eastAsia="Times New Roman" w:hAnsi="Times New Roman"/>
          <w:b w:val="false"/>
          <w:bCs w:val="false"/>
          <w:i w:val="false"/>
          <w:iCs w:val="false"/>
          <w:color w:val="222222"/>
          <w:sz w:val="21"/>
          <w:szCs w:val="21"/>
        </w:rPr>
        <w:t xml:space="preserve">: Supabase Storage, used in production specifically because the hosting platform's own filesystem is ephemeral and is wiped on every deploy, restart, and wake-from-sleep — a free instance sleeps after fifteen minutes of inactivity, making disk loss a near-daily event rather than a rare one. Local filesystem storage remains available for development only.</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The two hardest constraints the free tier imposes, and how each is addressed</w:t>
      </w:r>
      <w:r>
        <w:rPr>
          <w:rFonts w:ascii="Times New Roman" w:cs="Times New Roman" w:eastAsia="Times New Roman" w:hAnsi="Times New Roman"/>
          <w:b w:val="false"/>
          <w:bCs w:val="false"/>
          <w:i w:val="false"/>
          <w:iCs w:val="false"/>
          <w:color w:val="222222"/>
          <w:sz w:val="21"/>
          <w:szCs w:val="21"/>
        </w:rPr>
        <w:t xml:space="preserve">: (1) a free web service's roughly fifty-second cold start is fundamentally incompatible with an interactive gate-verification experience, which is why gate verification is architected offline-first rather than server-dependent, with a lightweight external uptime check keeping the service warm as a secondary mitigation; and (2) 512 MB of RAM cannot simultaneously hold the Django process and the OCR/face-verification computer-vision stack, which is documented as the one presently open infrastructure decision, with three genuinely free resolution paths identified — running the computer-vision workload locally for development and demonstration, hosting it as a small separate always-on microservice (e.g. Hugging Face Spaces), or substituting a lighter-weight, lower-RAM face-recognition model specifically on the deployed instance.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No background task queue or scheduler exists in the current tier.</w:t>
      </w:r>
      <w:r>
        <w:rPr>
          <w:rFonts w:ascii="Times New Roman" w:cs="Times New Roman" w:eastAsia="Times New Roman" w:hAnsi="Times New Roman"/>
          <w:b w:val="false"/>
          <w:bCs w:val="false"/>
          <w:i w:val="false"/>
          <w:iCs w:val="false"/>
          <w:color w:val="222222"/>
          <w:sz w:val="21"/>
          <w:szCs w:val="21"/>
        </w:rPr>
        <w:t xml:space="preserve"> Every operation that would ordinarily run on a schedule (expiring stale requests, sending due reminders, recomputing trust scores, escalating overdue complaints, pruning AI rate-limit counters) is implemented instead as an idempotent, bounded sweep, safe to trigger from an ordinary page read, an external uptime pinger hitting a health-check endpoint, or a manual management command — a design that requires no change to move onto a genuine scheduled job once infrastructure permits one.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Payments run in Razorpay test mode</w:t>
      </w:r>
      <w:r>
        <w:rPr>
          <w:rFonts w:ascii="Times New Roman" w:cs="Times New Roman" w:eastAsia="Times New Roman" w:hAnsi="Times New Roman"/>
          <w:b w:val="false"/>
          <w:bCs w:val="false"/>
          <w:i w:val="false"/>
          <w:iCs w:val="false"/>
          <w:color w:val="222222"/>
          <w:sz w:val="21"/>
          <w:szCs w:val="21"/>
        </w:rPr>
        <w:t xml:space="preserve">, issuing no real financial transactions, with a code-level guard rail that refuses to initiate a live transaction while test mode remains enabled — a deliberate control, not an oversight, pending the business verification (PAN, bank account) required to move to live payment processing.</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The migration path off free infrastructure is pre-planned and costed</w:t>
      </w:r>
      <w:r>
        <w:rPr>
          <w:rFonts w:ascii="Times New Roman" w:cs="Times New Roman" w:eastAsia="Times New Roman" w:hAnsi="Times New Roman"/>
          <w:b w:val="false"/>
          <w:bCs w:val="false"/>
          <w:i w:val="false"/>
          <w:iCs w:val="false"/>
          <w:color w:val="222222"/>
          <w:sz w:val="21"/>
          <w:szCs w:val="21"/>
        </w:rPr>
        <w:t xml:space="preserve"> (Section 2.3): a paid Render web service and workspace tier, Supabase's Pro database and storage tier, a small dedicated computer-vision microservice, and Razorpay live-mode processing, triggered by specific, named ceilings (RAM, instance-hours, database size, connection limits) rather than by a fixed calendar date — meaning the platform scales its cost in step with genuine usage rather than paying for headroom it does not yet need.</w:t>
      </w:r>
    </w:p>
    <w:p>
      <w:pPr>
        <w:pStyle w:val="Heading1"/>
        <w:pageBreakBefore/>
        <w:spacing w:after="160" w:before="320"/>
      </w:pPr>
      <w:r>
        <w:rPr>
          <w:rFonts w:ascii="Times New Roman" w:cs="Times New Roman" w:eastAsia="Times New Roman" w:hAnsi="Times New Roman"/>
          <w:b/>
          <w:bCs/>
          <w:color w:val="1F3864"/>
          <w:sz w:val="30"/>
          <w:szCs w:val="30"/>
        </w:rPr>
        <w:t xml:space="preserve">6. Future Scope &amp; Roadmap</w:t>
      </w:r>
    </w:p>
    <w:p>
      <w:pPr>
        <w:spacing w:after="160" w:line="276"/>
      </w:pPr>
      <w:r>
        <w:rPr>
          <w:rFonts w:ascii="Times New Roman" w:cs="Times New Roman" w:eastAsia="Times New Roman" w:hAnsi="Times New Roman"/>
          <w:b w:val="false"/>
          <w:bCs w:val="false"/>
          <w:i w:val="false"/>
          <w:iCs w:val="false"/>
          <w:color w:val="222222"/>
          <w:sz w:val="21"/>
          <w:szCs w:val="21"/>
        </w:rPr>
        <w:t xml:space="preserve">The following are natural extensions of the platform's existing architecture, deliberately kept out of the current release so that the present system remains focused, fully tested, and free to run. Each is a logical continuation of a capability that already exists in some form today, rather than a speculative new direction.</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public iOS release.</w:t>
      </w:r>
      <w:r>
        <w:rPr>
          <w:rFonts w:ascii="Times New Roman" w:cs="Times New Roman" w:eastAsia="Times New Roman" w:hAnsi="Times New Roman"/>
          <w:b w:val="false"/>
          <w:bCs w:val="false"/>
          <w:i w:val="false"/>
          <w:iCs w:val="false"/>
          <w:color w:val="222222"/>
          <w:sz w:val="21"/>
          <w:szCs w:val="21"/>
        </w:rPr>
        <w:t xml:space="preserve"> The Flutter codebase is structured so that the existing Android-first application extends to iOS without a rewrite; this has not yet been pursued, and would additionally require an Apple Developer Program enrolment (Section 2.3).</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Insurance integration for domestic workers</w:t>
      </w:r>
      <w:r>
        <w:rPr>
          <w:rFonts w:ascii="Times New Roman" w:cs="Times New Roman" w:eastAsia="Times New Roman" w:hAnsi="Times New Roman"/>
          <w:b w:val="false"/>
          <w:bCs w:val="false"/>
          <w:i w:val="false"/>
          <w:iCs w:val="false"/>
          <w:color w:val="222222"/>
          <w:sz w:val="21"/>
          <w:szCs w:val="21"/>
        </w:rPr>
        <w:t xml:space="preserve">, extending the platform's existing verified-identity and attendance history into eligibility for group personal-accident or health-insurance products — a natural extension of the trust and verification infrastructure already in place.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Loan-eligibility assessment based on a worker's verified employment history.</w:t>
      </w:r>
      <w:r>
        <w:rPr>
          <w:rFonts w:ascii="Times New Roman" w:cs="Times New Roman" w:eastAsia="Times New Roman" w:hAnsi="Times New Roman"/>
          <w:b w:val="false"/>
          <w:bCs w:val="false"/>
          <w:i w:val="false"/>
          <w:iCs w:val="false"/>
          <w:color w:val="222222"/>
          <w:sz w:val="21"/>
          <w:szCs w:val="21"/>
        </w:rPr>
        <w:t xml:space="preserve"> The platform already maintains a verifiable, timestamped record of a worker's engagements, attendance, and payment history; formalising this into a portable credential usable by a lender is a direct extension of data the system already produces, not a new data-collection effort.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digital, portable salary and employment history record</w:t>
      </w:r>
      <w:r>
        <w:rPr>
          <w:rFonts w:ascii="Times New Roman" w:cs="Times New Roman" w:eastAsia="Times New Roman" w:hAnsi="Times New Roman"/>
          <w:b w:val="false"/>
          <w:bCs w:val="false"/>
          <w:i w:val="false"/>
          <w:iCs w:val="false"/>
          <w:color w:val="222222"/>
          <w:sz w:val="21"/>
          <w:szCs w:val="21"/>
        </w:rPr>
        <w:t xml:space="preserve"> that a worker can carry between households and, eventually, between platforms — turning the existing payment ledger into a recognised employment record in its own right.</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Smart-gate hardware integration</w:t>
      </w:r>
      <w:r>
        <w:rPr>
          <w:rFonts w:ascii="Times New Roman" w:cs="Times New Roman" w:eastAsia="Times New Roman" w:hAnsi="Times New Roman"/>
          <w:b w:val="false"/>
          <w:bCs w:val="false"/>
          <w:i w:val="false"/>
          <w:iCs w:val="false"/>
          <w:color w:val="222222"/>
          <w:sz w:val="21"/>
          <w:szCs w:val="21"/>
        </w:rPr>
        <w:t xml:space="preserve"> (turnstiles, dedicated biometric readers) as a complement to the existing QR-and-face-verification gate workflow, for societies wanting a fully automated physical access-control layer.</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learned-model replacement for the current rule-based worker-recommendation scorer</w:t>
      </w:r>
      <w:r>
        <w:rPr>
          <w:rFonts w:ascii="Times New Roman" w:cs="Times New Roman" w:eastAsia="Times New Roman" w:hAnsi="Times New Roman"/>
          <w:b w:val="false"/>
          <w:bCs w:val="false"/>
          <w:i w:val="false"/>
          <w:iCs w:val="false"/>
          <w:color w:val="222222"/>
          <w:sz w:val="21"/>
          <w:szCs w:val="21"/>
        </w:rPr>
        <w:t xml:space="preserve">, a swap the scoring module (Section 4.12) is explicitly architected to support without any change to the hiring or booking flows that depend on it, once sufficient real usage data exists to train one responsibly.</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AI-driven attendance-absence prediction</w:t>
      </w:r>
      <w:r>
        <w:rPr>
          <w:rFonts w:ascii="Times New Roman" w:cs="Times New Roman" w:eastAsia="Times New Roman" w:hAnsi="Times New Roman"/>
          <w:b w:val="false"/>
          <w:bCs w:val="false"/>
          <w:i w:val="false"/>
          <w:iCs w:val="false"/>
          <w:color w:val="222222"/>
          <w:sz w:val="21"/>
          <w:szCs w:val="21"/>
        </w:rPr>
        <w:t xml:space="preserve">, proactively alerting a resident or administrator when a worker's historical pattern suggests an elevated likelihood of absence, ahead of the day itself.</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AI-assisted fraud detection</w:t>
      </w:r>
      <w:r>
        <w:rPr>
          <w:rFonts w:ascii="Times New Roman" w:cs="Times New Roman" w:eastAsia="Times New Roman" w:hAnsi="Times New Roman"/>
          <w:b w:val="false"/>
          <w:bCs w:val="false"/>
          <w:i w:val="false"/>
          <w:iCs w:val="false"/>
          <w:color w:val="222222"/>
          <w:sz w:val="21"/>
          <w:szCs w:val="21"/>
        </w:rPr>
        <w:t xml:space="preserve">, surfacing unusual patterns — duplicate accounts, anomalous booking or payment activity — for administrator review, building on the usage-logging foundation already established in the AI layer (Section 4.12).</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An AI smart-scheduler</w:t>
      </w:r>
      <w:r>
        <w:rPr>
          <w:rFonts w:ascii="Times New Roman" w:cs="Times New Roman" w:eastAsia="Times New Roman" w:hAnsi="Times New Roman"/>
          <w:b w:val="false"/>
          <w:bCs w:val="false"/>
          <w:i w:val="false"/>
          <w:iCs w:val="false"/>
          <w:color w:val="222222"/>
          <w:sz w:val="21"/>
          <w:szCs w:val="21"/>
        </w:rPr>
        <w:t xml:space="preserve">, automatically proposing optimal timing across a worker's multiple engagements to minimise idle time and schedule conflicts, extending today's manually-set task timings (Section 4.6).</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Automated monthly insight summaries</w:t>
      </w:r>
      <w:r>
        <w:rPr>
          <w:rFonts w:ascii="Times New Roman" w:cs="Times New Roman" w:eastAsia="Times New Roman" w:hAnsi="Times New Roman"/>
          <w:b w:val="false"/>
          <w:bCs w:val="false"/>
          <w:i w:val="false"/>
          <w:iCs w:val="false"/>
          <w:color w:val="222222"/>
          <w:sz w:val="21"/>
          <w:szCs w:val="21"/>
        </w:rPr>
        <w:t xml:space="preserve"> for both workers and residents (average earnings, busiest days, attendance trends, most-requested services), building directly on the data the payments and scheduling modules already capture.</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Automated, self-serve society subscription checkout</w:t>
      </w:r>
      <w:r>
        <w:rPr>
          <w:rFonts w:ascii="Times New Roman" w:cs="Times New Roman" w:eastAsia="Times New Roman" w:hAnsi="Times New Roman"/>
          <w:b w:val="false"/>
          <w:bCs w:val="false"/>
          <w:i w:val="false"/>
          <w:iCs w:val="false"/>
          <w:color w:val="222222"/>
          <w:sz w:val="21"/>
          <w:szCs w:val="21"/>
        </w:rPr>
        <w:t xml:space="preserve">, once the current hand-sold Standard/Plus tiers (Section 2.2) have demonstrated a repeatable sales motion worth automating.</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RazorpayX-based automated payouts and full Razorpay Route worker payment splitting</w:t>
      </w:r>
      <w:r>
        <w:rPr>
          <w:rFonts w:ascii="Times New Roman" w:cs="Times New Roman" w:eastAsia="Times New Roman" w:hAnsi="Times New Roman"/>
          <w:b w:val="false"/>
          <w:bCs w:val="false"/>
          <w:i w:val="false"/>
          <w:iCs w:val="false"/>
          <w:color w:val="222222"/>
          <w:sz w:val="21"/>
          <w:szCs w:val="21"/>
        </w:rPr>
        <w:t xml:space="preserve">, formalising the tipping and same-day-replacement payment flows (currently settled administratively in cash where a worker cannot yet complete gateway-linked-account onboarding) into fully automated, gateway-native transfers as worker banking-detail coverage grows.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Expanded, broader deployment of biometric and voice-assistant capabilities</w:t>
      </w:r>
      <w:r>
        <w:rPr>
          <w:rFonts w:ascii="Times New Roman" w:cs="Times New Roman" w:eastAsia="Times New Roman" w:hAnsi="Times New Roman"/>
          <w:b w:val="false"/>
          <w:bCs w:val="false"/>
          <w:i w:val="false"/>
          <w:iCs w:val="false"/>
          <w:color w:val="222222"/>
          <w:sz w:val="21"/>
          <w:szCs w:val="21"/>
        </w:rPr>
        <w:t xml:space="preserve"> beyond the current gate-verification use case, for accessibility and further identity-assurance scenarios.</w:t>
      </w:r>
    </w:p>
    <w:p>
      <w:pPr>
        <w:pStyle w:val="ListParagraph"/>
        <w:numPr>
          <w:ilvl w:val="0"/>
          <w:numId w:val="1"/>
        </w:numPr>
        <w:spacing w:after="100" w:line="276"/>
        <w:ind w:left="403" w:hanging="259"/>
      </w:pPr>
      <w:r>
        <w:rPr>
          <w:rFonts w:ascii="Times New Roman" w:cs="Times New Roman" w:eastAsia="Times New Roman" w:hAnsi="Times New Roman"/>
          <w:b/>
          <w:bCs/>
          <w:i w:val="false"/>
          <w:iCs w:val="false"/>
          <w:color w:val="222222"/>
          <w:sz w:val="21"/>
          <w:szCs w:val="21"/>
        </w:rPr>
        <w:t xml:space="preserve">A move from Razorpay test mode to live payment processing</w:t>
      </w:r>
      <w:r>
        <w:rPr>
          <w:rFonts w:ascii="Times New Roman" w:cs="Times New Roman" w:eastAsia="Times New Roman" w:hAnsi="Times New Roman"/>
          <w:b w:val="false"/>
          <w:bCs w:val="false"/>
          <w:i w:val="false"/>
          <w:iCs w:val="false"/>
          <w:color w:val="222222"/>
          <w:sz w:val="21"/>
          <w:szCs w:val="21"/>
        </w:rPr>
        <w:t xml:space="preserve">, contingent on completing the necessary business verification and formally adopting the fee structure described in Section 2.2.</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2026-08-09T07:55:21.463Z</dcterms:created>
  <dcterms:modified xsi:type="dcterms:W3CDTF">2026-08-09T07:55:21.463Z</dcterms:modified>
</cp:coreProperties>
</file>

<file path=docProps/custom.xml><?xml version="1.0" encoding="utf-8"?>
<Properties xmlns="http://schemas.openxmlformats.org/officeDocument/2006/custom-properties" xmlns:vt="http://schemas.openxmlformats.org/officeDocument/2006/docPropsVTypes"/>
</file>