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pBdr>
          <w:bottom w:val="single" w:color="1F3864" w:sz="16" w:space="14"/>
        </w:pBd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0"/>
          <w:szCs w:val="40"/>
        </w:rPr>
        <w:t xml:space="preserve">SOFTWARE REQUIREMENTS SPECIFICATION</w:t>
      </w:r>
    </w:p>
    <w:p>
      <w:pPr>
        <w:spacing w:after="120" w:before="260"/>
        <w:jc w:val="center"/>
      </w:pPr>
      <w:r>
        <w:rPr>
          <w:rFonts w:ascii="Times New Roman" w:cs="Times New Roman" w:eastAsia="Times New Roman" w:hAnsi="Times New Roman"/>
          <w:b/>
          <w:bCs/>
          <w:color w:val="2E74B5"/>
          <w:sz w:val="30"/>
          <w:szCs w:val="30"/>
        </w:rPr>
        <w:t xml:space="preserve">Sathify — Smart Society Domestic Workforce Management System</w:t>
      </w:r>
    </w:p>
    <w:p>
      <w:pPr>
        <w:spacing w:after="9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2"/>
          <w:szCs w:val="22"/>
        </w:rPr>
        <w:t xml:space="preserve">A mobile-first platform for the verified hiring, scheduling, attendance, payment, and trust management of domestic workers within Indian residential societies.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Prepared for: Business, Technical, and Engineering Stakeholders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Date: August 9, 2026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color w:val="222222"/>
          <w:sz w:val="21"/>
          <w:szCs w:val="21"/>
        </w:rPr>
        <w:t xml:space="preserve">Classification: Internal — Product &amp; Engineering</w:t>
      </w:r>
    </w:p>
    <w:p>
      <w:r>
        <w:br w:type="page"/>
      </w:r>
    </w:p>
    <w:p>
      <w:pPr>
        <w:pBdr>
          <w:bottom w:val="single" w:color="1F3864" w:sz="6" w:space="4"/>
        </w:pBdr>
        <w:spacing w:after="2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Table of Contents</w:t>
      </w:r>
    </w:p>
    <w:p>
      <w:pPr>
        <w:tabs>
          <w:tab w:val="right" w:pos="9936" w:leader="dot"/>
        </w:tabs>
        <w:spacing w:after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1.  Introduction</w:t>
      </w:r>
      <w:r>
        <w:ptab w:alignment="right" w:leader="dot"/>
      </w:r>
      <w:r>
        <w:rPr>
          <w:rFonts w:ascii="Times New Roman" w:cs="Times New Roman" w:eastAsia="Times New Roman" w:hAnsi="Times New Roman"/>
          <w:color w:val="222222"/>
          <w:sz w:val="22"/>
          <w:szCs w:val="22"/>
        </w:rPr>
        <w:t xml:space="preserve">3</w:t>
      </w:r>
    </w:p>
    <w:p>
      <w:pPr>
        <w:tabs>
          <w:tab w:val="right" w:pos="9936" w:leader="dot"/>
        </w:tabs>
        <w:spacing w:after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2.  Business &amp; Financial Strategy</w:t>
      </w:r>
      <w:r>
        <w:ptab w:alignment="right" w:leader="dot"/>
      </w:r>
      <w:r>
        <w:rPr>
          <w:rFonts w:ascii="Times New Roman" w:cs="Times New Roman" w:eastAsia="Times New Roman" w:hAnsi="Times New Roman"/>
          <w:color w:val="222222"/>
          <w:sz w:val="22"/>
          <w:szCs w:val="22"/>
        </w:rPr>
        <w:t xml:space="preserve">5</w:t>
      </w:r>
    </w:p>
    <w:p>
      <w:pPr>
        <w:tabs>
          <w:tab w:val="right" w:pos="9936" w:leader="dot"/>
        </w:tabs>
        <w:spacing w:after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3.  Overall Description</w:t>
      </w:r>
      <w:r>
        <w:ptab w:alignment="right" w:leader="dot"/>
      </w:r>
      <w:r>
        <w:rPr>
          <w:rFonts w:ascii="Times New Roman" w:cs="Times New Roman" w:eastAsia="Times New Roman" w:hAnsi="Times New Roman"/>
          <w:color w:val="222222"/>
          <w:sz w:val="22"/>
          <w:szCs w:val="22"/>
        </w:rPr>
        <w:t xml:space="preserve">8</w:t>
      </w:r>
    </w:p>
    <w:p>
      <w:pPr>
        <w:tabs>
          <w:tab w:val="right" w:pos="9936" w:leader="dot"/>
        </w:tabs>
        <w:spacing w:after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4.  System Features &amp; Functional Requirements</w:t>
      </w:r>
      <w:r>
        <w:ptab w:alignment="right" w:leader="dot"/>
      </w:r>
      <w:r>
        <w:rPr>
          <w:rFonts w:ascii="Times New Roman" w:cs="Times New Roman" w:eastAsia="Times New Roman" w:hAnsi="Times New Roman"/>
          <w:color w:val="222222"/>
          <w:sz w:val="22"/>
          <w:szCs w:val="22"/>
        </w:rPr>
        <w:t xml:space="preserve">11</w:t>
      </w:r>
    </w:p>
    <w:p>
      <w:pPr>
        <w:tabs>
          <w:tab w:val="right" w:pos="9936" w:leader="dot"/>
        </w:tabs>
        <w:spacing w:after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5.  Non-Functional Requirements</w:t>
      </w:r>
      <w:r>
        <w:ptab w:alignment="right" w:leader="dot"/>
      </w:r>
      <w:r>
        <w:rPr>
          <w:rFonts w:ascii="Times New Roman" w:cs="Times New Roman" w:eastAsia="Times New Roman" w:hAnsi="Times New Roman"/>
          <w:color w:val="222222"/>
          <w:sz w:val="22"/>
          <w:szCs w:val="22"/>
        </w:rPr>
        <w:t xml:space="preserve">15</w:t>
      </w:r>
    </w:p>
    <w:p>
      <w:pPr>
        <w:tabs>
          <w:tab w:val="right" w:pos="9936" w:leader="dot"/>
        </w:tabs>
        <w:spacing w:after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6.  Future Scope &amp; Roadmap</w:t>
      </w:r>
      <w:r>
        <w:ptab w:alignment="right" w:leader="dot"/>
      </w:r>
      <w:r>
        <w:rPr>
          <w:rFonts w:ascii="Times New Roman" w:cs="Times New Roman" w:eastAsia="Times New Roman" w:hAnsi="Times New Roman"/>
          <w:color w:val="222222"/>
          <w:sz w:val="22"/>
          <w:szCs w:val="22"/>
        </w:rPr>
        <w:t xml:space="preserve">17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1. Introduction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1.1 Purpose of the Document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Software Requirements Specification (SRS) defines the functional behaviour, business rationale, technical architecture, and quality requirements of Sathify. It serves four audiences at once: the engineering team building and maintaining the platform, evaluators assessing its completeness and rigor, stakeholders assessing its commercial viability, and society administrators or pilot residents validating that it reflects real-world needs.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document is deliberately unified rather than split across a technical spec and a separate business plan, because Sathify's engineering choices — offline-first attendance, a free-tier-only infrastructure stack, a four-tier AI fallback chain, an explainable trust score — are inseparable from its commercial reality as a zero-budget platform serving a two-sided market where one side is economically vulnerable.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Every requirement below reflects the system as it stands today: a working, tested, deployed application, not a proposal. Capabilities not yet built are marked as future scope in Section 6.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1.2 Project Scope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Sathify is a cross-platform mobile application, built in Flutter, backed by a Django REST Framework JSON API, that digitizes the management of domestic workers (maids, cooks, cleaners, and similar household help) within gated residential societies in India.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It replaces an informal, word-of-mouth system — paper attendance registers, unverified hiring, cash-only payment, no dispute mechanism, no portable work history — with one application used by four classes of user: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Residents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discover, hire, schedule, pay, and rate domestic workers, either as a standing engagement or a one-day booking.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Domestic workers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register with government-ID-backed verification, manage availability, mark attendance, take urgent leave, track earnings, and rate residents in turn.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Security guards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verify identity and bookings at the gate via QR code and optional face verification, and log every entry and exit.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Society administrators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approve residents and workers, manage the worker directory, oversee complaints against a service-level clock, and review reporting for their society.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platform spans thirteen functional modules — identity and access, society/resident onboarding, worker KYC, discovery and hiring, one-day bookings, scheduling, attendance and gate verification, payments, ratings and trust, notifications, admin/reporting/complaints, an AI layer, and a cross-cutting set of offline-resilience conventions.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Sathify is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standalone, dedicated domestic-workforce module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that a society can adopt independently of any society-management software it already runs; it does not replace such platforms, but solves one problem — verified, accountable, digitally-recorded management of domestic help — in depth.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document covers the mobile application (Android first, structured to extend to iOS), the backend API and its modules, supporting third-party integrations (payments, push, generative AI, OCR, face verification), the current infrastructure and deployment model, and the commercial strategy by which the platform sustains itself.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1.3 Business Ideology &amp; Core Vision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Sathify is built on one asymmetry that shapes every decision in this document: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the platform connects an affluent user (the resident) to an economically vulnerable one (the domestic worker), and a rupee taken from the worker's side costs far more than the same rupee earned from the resident's side.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It is a meaningful share of the worker's income, often invisible to the resident paying it, and trivially avoidable — the cash-based informal market it displaces charges no commission and is one phone call away.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produces three commitments: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Trust is the product, not a bolted-on feature.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A resident is letting a stranger into their home; a worker is trusting a household to pay fairly and treat them decently. Verification (KYC, photo identity, an auditable gate log) and accountability (two-way ratings, an explainable trust score, a complaint process with a real deadline) come first.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No automated system may cost a person their livelihood on an imperfect measurement.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Face-recognition, GPS, and OCR accuracy all degrade for exactly the population this platform serves. Every module follows the same rule: a failed automated check asks for a human decision, never issues an automatic denial. Dignity is symmetrical too — workers rate residents just as residents rate workers, either side may raise a complaint, and urgent leave is approved instantly and without justification, because a worker forced to negotiate permission will simply not show up.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The commercial model must not tax the vulnerable side to subsidise the comfortable side.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Revenue (Section 2) comes from societies and residents — the side with disposable income — while the platform stays free for workers, tips are guaranteed to arrive in full, and recurring wages are never commissioned.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 short: free to a society until its committee is convinced it should pay for what it already depends on, and free to a worker, permanently, by design.</w:t>
      </w:r>
    </w:p>
    <w:p>
      <w:pPr>
        <w:pStyle w:val="Heading1"/>
        <w:pageBreakBefore/>
        <w:pBdr>
          <w:bottom w:val="single" w:color="1F3864" w:sz="6" w:space="4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2. Business &amp; Financial Strategy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2.1 Business Model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Sathify is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two-sided, society-anchored marketplace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sold primarily as B2B software to a society's managing committee, with a free, full-featured experience for individual residents and workers.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The unit of sale is the society, not the household.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A resident in a society with no active subscription still gets the complete product free — discovery, hiring, bookings, attendance, payments, ratings. Individual residents are the acquisition channel: once enough of a society is actively using the app that its gate log, complaint history, and worker directory are genuinely relied on, the pitch to formalise a paid subscription writes itself.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The model is built to resist disintermediation, not fight it.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Recurring domestic-work arrangements disintermediate fast — within a month the resident and worker have exchanged numbers and reverted to cash, owing the platform nothing. A percentage-of-salary fee is therefore structurally unsound. Sathify takes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zero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revenue from recurring salary payments and instead monetises what does not disintermediate:</w:t>
      </w:r>
    </w:p>
    <w:tbl>
      <w:tblPr>
        <w:tblW w:type="dxa" w:w="993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What is charged</w:t>
            </w:r>
          </w:p>
        </w:tc>
        <w:tc>
          <w:tcPr>
            <w:tcW w:type="dxa" w:w="496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Why it survives disintermediation</w:t>
            </w:r>
          </w:p>
        </w:tc>
      </w:tr>
      <w:tr>
        <w:trPr>
          <w:tblHeader w:val="false"/>
        </w:trPr>
        <w:tc>
          <w:tcPr>
            <w:tcW w:type="dxa" w:w="496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subscription paid by the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society</w:t>
            </w:r>
          </w:p>
        </w:tc>
        <w:tc>
          <w:tcPr>
            <w:tcW w:type="dxa" w:w="496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The gate log, attendance history, and complaint queue are the society's own record; leaving means losing it.</w:t>
            </w:r>
          </w:p>
        </w:tc>
      </w:tr>
      <w:tr>
        <w:trPr>
          <w:tblHeader w:val="false"/>
        </w:trPr>
        <w:tc>
          <w:tcPr>
            <w:tcW w:type="dxa" w:w="496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convenience fee on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one-day bookings</w:t>
            </w:r>
          </w:p>
        </w:tc>
        <w:tc>
          <w:tcPr>
            <w:tcW w:type="dxa" w:w="496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single transaction with no ongoing relationship to route around.</w:t>
            </w:r>
          </w:p>
        </w:tc>
      </w:tr>
      <w:tr>
        <w:trPr>
          <w:tblHeader w:val="false"/>
        </w:trPr>
        <w:tc>
          <w:tcPr>
            <w:tcW w:type="dxa" w:w="496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One-off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verification services</w:t>
            </w:r>
          </w:p>
        </w:tc>
        <w:tc>
          <w:tcPr>
            <w:tcW w:type="dxa" w:w="496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background check is a discrete product, not a recurring toll.</w:t>
            </w:r>
          </w:p>
        </w:tc>
      </w:tr>
      <w:tr>
        <w:trPr>
          <w:tblHeader w:val="false"/>
        </w:trPr>
        <w:tc>
          <w:tcPr>
            <w:tcW w:type="dxa" w:w="496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The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digital payment rail</w:t>
            </w:r>
          </w:p>
        </w:tc>
        <w:tc>
          <w:tcPr>
            <w:tcW w:type="dxa" w:w="496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Valuable only while easier than cash — an incentive to keep it genuinely good.</w:t>
            </w:r>
          </w:p>
        </w:tc>
      </w:tr>
      <w:tr>
        <w:trPr>
          <w:tblHeader w:val="false"/>
        </w:trPr>
        <w:tc>
          <w:tcPr>
            <w:tcW w:type="dxa" w:w="496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Advertising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, shown only to residents</w:t>
            </w:r>
          </w:p>
        </w:tc>
        <w:tc>
          <w:tcPr>
            <w:tcW w:type="dxa" w:w="496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Independent of whether any transaction happens at all.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is implemented, not just priced: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SocietySubscription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has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19"/>
          <w:szCs w:val="19"/>
        </w:rPr>
        <w:t xml:space="preserve">FREE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tier treated as a permanent, fully-functional state;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Payment.platform_fee_paise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exists in the schema today with the fee itself switched off; and every wage transfer, tip, replacement payment, or refund is hard-coded exempt from any platform fee.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2.2 Expected Revenue Sources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Revenue is layered and sequenced by durability, not by size at launch.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1. Society subscriptions — the primary line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sold to the managing committee across three tiers:</w:t>
      </w:r>
    </w:p>
    <w:tbl>
      <w:tblPr>
        <w:tblW w:type="dxa" w:w="993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331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Price</w:t>
            </w:r>
          </w:p>
        </w:tc>
        <w:tc>
          <w:tcPr>
            <w:tcW w:type="dxa" w:w="331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What it unlocks</w:t>
            </w:r>
          </w:p>
        </w:tc>
      </w:tr>
      <w:tr>
        <w:trPr>
          <w:tblHeader w:val="false"/>
        </w:trPr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Free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₹0, indefinitely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Up to 25 workers, gate log, complaints, 30-day history. Deliberately permanent, so a society can run on it forever.</w:t>
            </w:r>
          </w:p>
        </w:tc>
      </w:tr>
      <w:tr>
        <w:trPr>
          <w:tblHeader w:val="false"/>
        </w:trPr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Standard</w:t>
            </w:r>
          </w:p>
        </w:tc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₹1,500/mo or ₹15,000/yr</w:t>
            </w:r>
          </w:p>
        </w:tc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Unlimited workers, 12-month history, monthly PDF/CSV reports, SLA escalation, 3 admin accounts.</w:t>
            </w:r>
          </w:p>
        </w:tc>
      </w:tr>
      <w:tr>
        <w:trPr>
          <w:tblHeader w:val="false"/>
        </w:trPr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Plus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₹4,000/mo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Everything in Standard, plus 5 verification credits/month, multi-gate support, ERP API access, priority replacement matching, and no booking fee.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200-flat society already spends ₹25,000–₹40,000/month on security staffing; ₹1,500 is a rounding error against that, sold as a gate log that cannot be lost or argued with.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 lapsed subscription never degrades the operating product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gate verification, attendance, payments, and complaints keep working identically; only extended reporting narrows. A billing dispute must never stand between a worker and their wages.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2. A one-day booking convenience fee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8% of booking value, paid by the resident on top of the worker's rate, capped at ₹40, disclosed up front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never deducted from what the worker was promised. Recurring salaries carry no fee.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3. Verification and certification badges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(police verification ≈ ₹250; skills certification ≈ ₹150/module) — earned, dated, and expiring, and deliberately excluded from search ranking, so money can never buy a position in the trust score residents rely on.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4. A bounded featured-placement product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(≈ ₹99/month), capped at one in five results, labelled "Promoted," and only ever re-ordering a worker within their own trust band — never above a lower-rated worker.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5. Advertising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shown only to residents, modelled as a small, late-stage line (well under ₹500/month at pilot scale).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6. Tipping — revenue-neutral by design.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₹50/₹100/₹200 presets shown only after a five-star rating;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100% of every tip reaches the worker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with any gateway fee absorbed by the platform as a trust expense rather than deducted.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Build order: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subscription → booking fee → verification → advertising last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in order of durability.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2.3 Financial Requirements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Phase 1 — today.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The platform runs at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zero recurring cash cost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: Render's free web-service tier, Supabase's free database and storage tier, Firebase's free push tier, Razorpay test mode, and a four-provider free-tier AI chain (Gemini, Groq, OpenRouter, Hugging Face). It is built by a four-person team contributing engineering time rather than drawing salary, with no domain, app-store, or infrastructure spend incurred to date.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Phase 2 — scaling past the free tier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costed against named ceilings rather than a calendar date:</w:t>
      </w:r>
    </w:p>
    <w:tbl>
      <w:tblPr>
        <w:tblW w:type="dxa" w:w="993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Cost line</w:t>
            </w:r>
          </w:p>
        </w:tc>
        <w:tc>
          <w:tcPr>
            <w:tcW w:type="dxa" w:w="331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331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Indicative cost</w:t>
            </w:r>
          </w:p>
        </w:tc>
      </w:tr>
      <w:tr>
        <w:trPr>
          <w:tblHeader w:val="false"/>
        </w:trPr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Render paid web service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512 MB RAM or 750 hrs/month ceiling, or cold-start latency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From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US $7/mo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$25/mo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workspace fee ([Render](https://render.com/docs/new-workspace-plans))</w:t>
            </w:r>
          </w:p>
        </w:tc>
      </w:tr>
      <w:tr>
        <w:trPr>
          <w:tblHeader w:val="false"/>
        </w:trPr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500 MB DB / 1 GB storage ceiling</w:t>
            </w:r>
          </w:p>
        </w:tc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US $25/mo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, scaling to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$25–500/mo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at 10K–100K users ([Supabase](https://www.jetadmin.io/blog/supabase-pricing-2026-guide-to-plans-limits-and-real-world-costs/))</w:t>
            </w:r>
          </w:p>
        </w:tc>
      </w:tr>
      <w:tr>
        <w:trPr>
          <w:tblHeader w:val="false"/>
        </w:trPr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OCR/face microservice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Cannot fit CV stack in 512 MB alongside the API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US $0–15/mo</w:t>
            </w:r>
          </w:p>
        </w:tc>
      </w:tr>
      <w:tr>
        <w:trPr>
          <w:tblHeader w:val="false"/>
        </w:trPr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Razorpay live mode</w:t>
            </w:r>
          </w:p>
        </w:tc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Moving off test mode</w:t>
            </w:r>
          </w:p>
        </w:tc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≈ 2% + GST per transaction</w:t>
            </w:r>
          </w:p>
        </w:tc>
      </w:tr>
      <w:tr>
        <w:trPr>
          <w:tblHeader w:val="false"/>
        </w:trPr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SMS fallback gateway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Push alone judged insufficient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Per-message, low paise to a few rupees</w:t>
            </w:r>
          </w:p>
        </w:tc>
      </w:tr>
      <w:tr>
        <w:trPr>
          <w:tblHeader w:val="false"/>
        </w:trPr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Google Play registration</w:t>
            </w:r>
          </w:p>
        </w:tc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Before public Android launch</w:t>
            </w:r>
          </w:p>
        </w:tc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US $25, one-time</w:t>
            </w:r>
          </w:p>
        </w:tc>
      </w:tr>
      <w:tr>
        <w:trPr>
          <w:tblHeader w:val="false"/>
        </w:trPr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Apple Developer Program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If an iOS release ships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US $99/yr</w:t>
            </w:r>
          </w:p>
        </w:tc>
      </w:tr>
      <w:tr>
        <w:trPr>
          <w:tblHeader w:val="false"/>
        </w:trPr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Production domain + TLS</w:t>
            </w:r>
          </w:p>
        </w:tc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Before a public launch</w:t>
            </w:r>
          </w:p>
        </w:tc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₹800–1,500/yr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; TLS is free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None of this is committed spend today; figures reflect published rates at time of writing and should be re-verified before budgeting decisions. Beyond infrastructure, the main future cost driver is headcount: continued module ownership, part-time society sales/onboarding, and lightweight customer support.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2.4 Future Financial Scope &amp; Projections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model is validated against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single society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because the argument that matters is "this stops losing money at the first sale," not "this can eventually be large." Twelve months into one 200-flat society on Standard:</w:t>
      </w:r>
    </w:p>
    <w:tbl>
      <w:tblPr>
        <w:tblW w:type="dxa" w:w="993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Revenue line</w:t>
            </w:r>
          </w:p>
        </w:tc>
        <w:tc>
          <w:tcPr>
            <w:tcW w:type="dxa" w:w="496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Monthly (indicative)</w:t>
            </w:r>
          </w:p>
        </w:tc>
      </w:tr>
      <w:tr>
        <w:trPr>
          <w:tblHeader w:val="false"/>
        </w:trPr>
        <w:tc>
          <w:tcPr>
            <w:tcW w:type="dxa" w:w="496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Society subscription</w:t>
            </w:r>
          </w:p>
        </w:tc>
        <w:tc>
          <w:tcPr>
            <w:tcW w:type="dxa" w:w="496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₹1,500</w:t>
            </w:r>
          </w:p>
        </w:tc>
      </w:tr>
      <w:tr>
        <w:trPr>
          <w:tblHeader w:val="false"/>
        </w:trPr>
        <w:tc>
          <w:tcPr>
            <w:tcW w:type="dxa" w:w="496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~60 bookings × ~₹28 avg. fee</w:t>
            </w:r>
          </w:p>
        </w:tc>
        <w:tc>
          <w:tcPr>
            <w:tcW w:type="dxa" w:w="496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₹1,680</w:t>
            </w:r>
          </w:p>
        </w:tc>
      </w:tr>
      <w:tr>
        <w:trPr>
          <w:tblHeader w:val="false"/>
        </w:trPr>
        <w:tc>
          <w:tcPr>
            <w:tcW w:type="dxa" w:w="496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~4 verification badges</w:t>
            </w:r>
          </w:p>
        </w:tc>
        <w:tc>
          <w:tcPr>
            <w:tcW w:type="dxa" w:w="496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₹1,000</w:t>
            </w:r>
          </w:p>
        </w:tc>
      </w:tr>
      <w:tr>
        <w:trPr>
          <w:tblHeader w:val="false"/>
        </w:trPr>
        <w:tc>
          <w:tcPr>
            <w:tcW w:type="dxa" w:w="496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Advertising (~180 residents)</w:t>
            </w:r>
          </w:p>
        </w:tc>
        <w:tc>
          <w:tcPr>
            <w:tcW w:type="dxa" w:w="496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₹300</w:t>
            </w:r>
          </w:p>
        </w:tc>
      </w:tr>
      <w:tr>
        <w:trPr>
          <w:tblHeader w:val="false"/>
        </w:trPr>
        <w:tc>
          <w:tcPr>
            <w:tcW w:type="dxa" w:w="496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Total per society</w:t>
            </w:r>
          </w:p>
        </w:tc>
        <w:tc>
          <w:tcPr>
            <w:tcW w:type="dxa" w:w="496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≈ ₹4,480</w:t>
            </w:r>
          </w:p>
        </w:tc>
      </w:tr>
      <w:tr>
        <w:trPr>
          <w:tblHeader w:val="false"/>
        </w:trPr>
        <w:tc>
          <w:tcPr>
            <w:tcW w:type="dxa" w:w="496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(Tips processed)</w:t>
            </w:r>
          </w:p>
        </w:tc>
        <w:tc>
          <w:tcPr>
            <w:tcW w:type="dxa" w:w="496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₹12,000 → ₹0 platform revenue, by design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Against an indicative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₹600/month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infrastructure cost at that scale,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one paying society already covers running costs with margin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proof of sound unit economics rather than a scale projection. Longer-term scope multiplies this across more societies and layers in the currently-unbuilt lines in Section 6 (insurance, portable salary history, expanded verification), all following the same principle: monetise what does not disintermediate.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2.5 Business Expectations &amp; KPIs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Adoption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societies verified and active; % of a society's flats with an approved resident; % of its workforce KYC-approved; time to a new user's first completed action (target: under five minutes, unassisted).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Trust &amp; safety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share of gate decisions resolved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ALLOWED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vs. routed to human review, and how fast; complaint SLA compliance (4h urgent / 24h high / 72h normal) and escalation rate; trend of trust scores and how much is backed by real evidence versus the cold-start prior.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Commercial health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free-to-paid conversion rate and time-to-conversion; monthly revenue per society against its infrastructure cost; one-day booking attach rate; verification/featured-placement attach rate.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Worker and household outcomes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the metrics that justify the ideology, not just the revenue: worker earnings uplift and payment punctuality versus the informal-market baseline; worker retention and repeat engagement; rate at which safety complaints are raised and resolved, and whether workers use the complaint channel at a rate that shows the two-way symmetry is real.</w:t>
      </w:r>
    </w:p>
    <w:p>
      <w:pPr>
        <w:pStyle w:val="Heading1"/>
        <w:pageBreakBefore/>
        <w:pBdr>
          <w:bottom w:val="single" w:color="1F3864" w:sz="6" w:space="4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3. Overall Description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3.1 Product Perspective &amp; Architecture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Sathify digitizes a process that today is entirely manual — informal hiring, paper registers, cash payment, no durable record of a worker's reliability. It is a new, standalone product, not a redesign of an existing tool, positioned as a dedicated module a society adopts specifically for its domestic workforce.</w:t>
      </w:r>
    </w:p>
    <w:p>
      <w:pPr>
        <w:spacing w:after="40" w:before="160"/>
        <w:jc w:val="center"/>
      </w:pPr>
      <w:r>
        <w:drawing>
          <wp:inline distT="0" distB="0" distL="0" distR="0">
            <wp:extent cx="584835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Figure 1 — Sathify end-to-end architecture: Flutter client, Django REST API, and supporting services.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backend exposes a single versioned JSON API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19"/>
          <w:szCs w:val="19"/>
        </w:rPr>
        <w:t xml:space="preserve">/api/v1/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) consumed exclusively by the Flutter client — there is no server-rendered web front end; Django's templating is used only to power the Django Admin, repurposed as the operational review console for approvals.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Multi-tenancy is structural.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Every model holding society-specific data carries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society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foreign key via a shared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SocietyScopedModel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base, and every API view filters on it through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SocietyScopedQuerysetMixin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one society can never read another's workers, bookings, attendance, or complaints through a shared endpoint.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External integrations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are REST-based rather than SDK-heavy, to keep the deployment footprint small:</w:t>
      </w:r>
    </w:p>
    <w:tbl>
      <w:tblPr>
        <w:tblW w:type="dxa" w:w="993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Integration</w:t>
            </w:r>
          </w:p>
        </w:tc>
        <w:tc>
          <w:tcPr>
            <w:tcW w:type="dxa" w:w="331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W w:type="dxa" w:w="331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Razorpay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Payments, refunds, webhooks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Called via its REST API directly, not its SDK; test mode only today</w:t>
            </w:r>
          </w:p>
        </w:tc>
      </w:tr>
      <w:tr>
        <w:trPr>
          <w:tblHeader w:val="false"/>
        </w:trPr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Optional — the in-app notification centre is the system of record regardless</w:t>
            </w:r>
          </w:p>
        </w:tc>
      </w:tr>
      <w:tr>
        <w:trPr>
          <w:tblHeader w:val="false"/>
        </w:trPr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Gemini / Groq / OpenRouter / Hugging Face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Chatbot, summarisation, sentiment, classification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Four-tier fallback chain; every feature has a non-AI fallback</w:t>
            </w:r>
          </w:p>
        </w:tc>
      </w:tr>
      <w:tr>
        <w:trPr>
          <w:tblHeader w:val="false"/>
        </w:trPr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PaddleOCR / EasyOCR</w:t>
            </w:r>
          </w:p>
        </w:tc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Aadhaar field extraction</w:t>
            </w:r>
          </w:p>
        </w:tc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Single internal interface; swappable without touching callers</w:t>
            </w:r>
          </w:p>
        </w:tc>
      </w:tr>
      <w:tr>
        <w:trPr>
          <w:tblHeader w:val="false"/>
        </w:trPr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DeepFace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Gate face verification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below-threshold match is never a denial</w:t>
            </w:r>
          </w:p>
        </w:tc>
      </w:tr>
      <w:tr>
        <w:trPr>
          <w:tblHeader w:val="false"/>
        </w:trPr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Notification fallback</w:t>
            </w:r>
          </w:p>
        </w:tc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Disabled by default; provider-agnostic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3.2 User Classes and Characteristics</w:t>
      </w:r>
    </w:p>
    <w:tbl>
      <w:tblPr>
        <w:tblW w:type="dxa" w:w="993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User Class</w:t>
            </w:r>
          </w:p>
        </w:tc>
        <w:tc>
          <w:tcPr>
            <w:tcW w:type="dxa" w:w="331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31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Technical Proficiency</w:t>
            </w:r>
          </w:p>
        </w:tc>
      </w:tr>
      <w:tr>
        <w:trPr>
          <w:tblHeader w:val="false"/>
        </w:trPr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Resident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Registers a flat; hires or books workers; sets expectations; pays digitally; views attendance and gate history; rates and raises complaints. One primary account holder per flat may create or edit hires.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Basic</w:t>
            </w:r>
          </w:p>
        </w:tc>
      </w:tr>
      <w:tr>
        <w:trPr>
          <w:tblHeader w:val="false"/>
        </w:trPr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Domestic Worker</w:t>
            </w:r>
          </w:p>
        </w:tc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Registers via KYC; manages availability and profile photo (also the gate's face-reference image); responds to hires/bookings; marks task completion; requests urgent leave; tracks earnings; rates residents.</w:t>
            </w:r>
          </w:p>
        </w:tc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Basic</w:t>
            </w:r>
          </w:p>
        </w:tc>
      </w:tr>
      <w:tr>
        <w:trPr>
          <w:tblHeader w:val="false"/>
        </w:trPr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Security Guard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Scans a worker's QR pass (or a resident-scanned card, or paper register as a last resort); allows/denies entry; resolves low-confidence face checks; works fully offline.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Basic</w:t>
            </w:r>
          </w:p>
        </w:tc>
      </w:tr>
      <w:tr>
        <w:trPr>
          <w:tblHeader w:val="false"/>
        </w:trPr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Society Administrator</w:t>
            </w:r>
          </w:p>
        </w:tc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Approves residents and workers; manages the worker directory; runs the complaint queue against its SLA; reviews reports; configures society settings; is the commercial counterparty for the subscription.</w:t>
            </w:r>
          </w:p>
        </w:tc>
        <w:tc>
          <w:tcPr>
            <w:tcW w:type="dxa" w:w="33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Intermediate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single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19"/>
          <w:szCs w:val="19"/>
        </w:rPr>
        <w:t xml:space="preserve">User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record underlies all four roles, distinguished by a mutually-exclusive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role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field and login by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phone number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rather than username or email — the identifier every user in this market already has.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3.3 Operating Environment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Client: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Flutter (SDK ≥ 3.27, Dart ≥ 3.6), Android first, structured to extend to iOS.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Server: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Python 3.13, Django 5.2 (LTS), Django REST Framework, single web service.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Database: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PostgreSQL on Supabase, with a transparent local-SQLite fallback for development.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Media storage: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Supabase Storage (S3-compatible) in production, since the host filesystem is ephemeral; local storage in development only.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Push: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Firebase Cloud Messaging, optional and gracefully degraded.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Hosting: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Render, free tier, Singapore region.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CI/CD: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Git and GitHub, with system checks, migration-consistency checks, backend tests, and Flutter analysis/tests on every pull request.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3.4 Design and Implementation Constraints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Mandatory Aadhaar-based KYC before activation.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The full number is never stored — only a masked last-four display and a keyed HMAC hash for duplicate detection, a conservative posture aligned with UIDAI and India's DPDP Act, but not a substitute for legal review at scale.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All payments run through a PCI-DSS-compliant gateway (Razorpay)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; card and bank details are never stored by Sathify.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Gate decisions cannot depend on server reachability.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The guard's device decides offline against a cached roster, keyed by a client-generated identifier so sync can never duplicate an entry.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Every AI feature must degrade to a deterministic fallback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enforced by a shared utility that requires both paths as mandatory arguments.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No automated measurement may deny a person outright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a weak face match, an out-of-geofence GPS fix, or an unreadable scan always resolves to human review, never rejection.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Every dependency runs on a genuinely free tier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which rules out a background scheduler in production; anything that would be a cron job runs instead as an idempotent, bounded sweep triggered by an ordinary read, an uptime pinger, or a management command.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Money is stored as integer paise, never a float or rupee decimal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to avoid drift against Razorpay's own paise-denominated ledger.</w:t>
      </w:r>
    </w:p>
    <w:p>
      <w:pPr>
        <w:pStyle w:val="Heading1"/>
        <w:pageBreakBefore/>
        <w:pBdr>
          <w:bottom w:val="single" w:color="1F3864" w:sz="6" w:space="4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4. System Features &amp; Functional Requirements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Sathify's scope spans thirteen modules, each mapped one-to-one onto a backend app and a mobile feature folder, giving every module one owner and a self-contained set of data, rules, and tests.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4.1 Module 1 — Identity &amp; Access Management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Single authentication record for all four roles, login by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phone number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 JWT access tokens (60 min) with a rotating, blacklistable refresh token (30 days), so a lost device can be revoked without needing to sign in first.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Phone-based OTP for registration, login, and reset — hashed storage, five-attempt cap, ten-minute validity, resend rate limiting.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Default-deny role-based access control across the four mutually-exclusive roles.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An administrator-approval gate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19"/>
          <w:szCs w:val="19"/>
        </w:rPr>
        <w:t xml:space="preserve">is_approved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): registration alone grants no platform access.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Device/session management with explicit revocation; a guard terminal holds one active session at a time.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Multilingual UI (English, Hindi, Marathi) as a present-day capability.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4.2 Module 2 — Society &amp; Resident Onboarding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multi-tenancy backbone.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Society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stays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PENDING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inert — until platform-verified, subdivided into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towers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flats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and staffed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gates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Resident registration against a specific flat, with proof of residence reviewed by an administrator.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Multiple residents per flat, exactly one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primary account holder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(a database constraint) who alone edits hires and schedules.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Society-level configuration: towers, flat count, gates, minimum booking notice, guard shift length, GPS self-check-in permission.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Two-sided trust scoring, so a worker gets the same signal about a household that a resident gets about a worker.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4.3 Module 3 — Worker Onboarding &amp; KYC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trust foundation: a worker cannot be searchable, hired, or gate-admitted until this pipeline completes and an administrator approves.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Profile with service types, experience, languages, rate, availability, and a mandatory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photo that doubles as the gate's face-verification reference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An eight-stage OCR pipeline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: image load → preprocessing → detection/recognition (PaddleOCR primary, EasyOCR fallback) → field extraction → Verhoeff checksum validation → an automatic, non-overridable under-18 rejection → cross-check against the registration form.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Aadhaar numbers are never stored in full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only a masked last-four and a keyed hash for cross-society duplicate detection.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Low-confidence fields are flagged for manual confirmation, never auto-filled silently; when the CV stack is unavailable, the flow falls through cleanly to manual entry.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Purpose-limited, separately-revocable consent for KYC, face biometrics, and general processing.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police-verification badge, dated and expiring, deliberately excluded from search ranking.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4.4 Module 4 — Discovery &amp; Hiring (Recurring Engagements)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AI-assisted, explainable recommendation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: a weighted match across trust score (30%), rating history (25%), availability overlap (20%), responsiveness (15%), and proximity (10%), shown as a percentage with a full breakdown — never an opaque number.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Cold-start smoothing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: new workers with no history are scored at a neutral prior, not zero, so they are not permanently buried.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Hire requests with a 48-hour response deadline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; a lapsed request is logged as unmet demand.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Engagement lifecycle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: pause/resume without ending the relationship, and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ten-day notice period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during which the engagement stays fully active and paid, right up to the last working day. A separate, immediate termination path exists for abuse or safety, so a worker reporting harassment is never made to serve notice.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No pay is withheld as a notice penalty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compliance is reflected non-punitively in the trust score instead.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4.5 Module 5 — One-Day Service Booking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distinct path from Module 4 for single, time-bound jobs (shifting, deep cleaning, event prep, temporary cooking, emergency assistance).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predefined catalogue of bookable categories with duration and indicative price guidance.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Per-date worker availability, distinct from general availability hours.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configurable minimum booking notice, with an emergency-category exemption.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Full lifecycle — pending, confirmed, completed, declined, cancelled (with a frozen cancellation fee), or auto-expired.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Lazy, idempotent expiry of stale bookings and hire requests, evaluated on read rather than by a scheduler.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4.6 Module 6 — Scheduling &amp; Task Management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thin calendar layer: visits are always derived on read from an engagement's or booking's own terms, never materialised separately.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Per-engagement arrival/departure timing with a configurable grace window (default 15 min).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Worker-marked task completion, tracked independently of gate attendance.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Durable, row-based reminders delivered through Module 10.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Urgent leave ("chutti") approved instantly, with no justification required.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The resident is then asked only whether they need a replacement; if so, one is matched via the existing ranking logic and the day's pay split per an engagement-level rule (default: full rate to the replacement). The missed day is never double-deducted — attendance pro-rating already removes it from the absent worker's pay.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4.7 Module 7 — Attendance &amp; Gate Verification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Opaque QR gate passes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printable for a worker without a smartphone, or in-app — instantly revocable and reissuable.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Offline-first scanning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: the guard's device decides against a locally cached roster, keyed by a client-generated identifier so a later sync can never duplicate an entry.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Face verification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against the registered photo;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 below-threshold match is never a denial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it becomes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PENDING_REVIEW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for the guard to resolve explicitly.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 tiered fallback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never allowed to deny entry below the top tier: (1) guard QR scan, optionally with face check; (2) worker self-check-in inside a ~250 m GPS geofence; (3) resident-scanned printed card; (4) a photographed paper register as a last resort.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complete, append-only log of every entry, exit, method, and override.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4.8 Module 8 — Payments &amp; Payouts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Money is stored as integer paise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never a float, to avoid drift against Razorpay's own accounting.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Covers recurring salaries, bookings, tips, refunds, and replacement earnings, each with a human-readable receipt number.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 payment is marked paid only on a signature-verified message from Razorpay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never on a client's own claim.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Every webhook is stored and deduplicated by its provider event ID, for both idempotency and audit.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configurable, engagement-level replacement-earnings split for same-day cover.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Payment disputes feed the same complaint workflow used everywhere else (Module 11).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subscription tier and platform-fee mechanics from Section 2 live here, including a due-date on every payment and a fee column that exists today, frozen at zero.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4.9 Module 9 — Ratings, Reviews &amp; Trust Score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Worker trust score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: ratings (35%), attendance reliability (30%), verification completeness (20%), completion rate (15%).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Resident trust score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: payment punctuality (45%), worker-given ratings (35%), upheld complaints (20%).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Every score is explainable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: stored with a full, frozen, per-component breakdown at the moment it was computed, so a dispute is answered with the reasoning that produced it, not a fresh recalculation.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Cold-start smoothing, identical in spirit to Module 4, so a newcomer is not scored at zero.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Sentiment/theme analysis is stored separately from the raw review text, which is never overwritten by a model's interpretation.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Suspicious-rating detection flags for administrator review rather than auto-deleting — a false positive should be recoverable and appealable.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4.10 Module 10 — Notifications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The in-app notification record is the durable system of record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written before any delivery attempt and preserved regardless of what push or SMS does afterward.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Category-based mute preferences — except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gate-entry alerts, urgent-leave/replacement notices, and account/verification notices, which can never be muted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enforced server-side.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Graceful fallback to a provider-agnostic SMS gateway when push fails or is unavailable.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4.11 Module 11 — Admin, Reporting &amp; Complaints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Either party may raise a complaint against the other, or against the society itself.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An SLA deadline is set once, at creation, and never moved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escalation reorders the queue by raising priority, without shifting the deadline.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clock runs only during realistic waking hours (08:00–21:00, all seven days); indicative windows are 4h urgent, 24h high, 72h normal.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Complaints are never deleted, only closed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with an append-only history of every transition.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Safety-category complaints are automatically escalated on arrival.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An unmet-demand log records every lapsed hire request or unfilled booking/replacement, for the committee to act on.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worker/resident directory built on customised Django Admin views, separate from the onboarding approval screens.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4.12 Module 12 — AI Layer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Every AI feature must answer identically, if less richly, when no provider is reachable — enforced by a shared utility requiring both an AI path and a fallback as mandatory arguments.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 four-tier fallback chain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: Gemini → Groq → OpenRouter (free catalogue) → Hugging Face, each skipped silently if unconfigured.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Locally enforced rate limiting against the tightest published free-tier ceiling, so the chain fails over before a provider ever returns an error.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AI worker recommendation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the same explainable formula from Module 4, exposed as an independent service so it can later be replaced by a learned model with no change to the hiring flow.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 conversational assistant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that only identifies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22222"/>
          <w:sz w:val="21"/>
          <w:szCs w:val="21"/>
        </w:rPr>
        <w:t xml:space="preserve">which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question is being asked; every figure in the answer is read straight from the same queries the corresponding screen uses — the model never composes the answer or sees the underlying data.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OCR extraction (Module 3) and face verification (Module 7), routed through the same degradation convention.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Review summarisation, sentiment analysis, and complaint classification.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Usage logging captures which tier answered, latency, and outcome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never the prompt or response content itself.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4.13 Module 13 — Offline &amp; Resilience Conventions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Engineering conventions applied wherever connectivity or a specific person's presence cannot be guaranteed, tested and enforced as code rather than left as prose: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Client-generated identifiers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for anything recorded offline, minted before the server ever sees the record.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Idempotent sync endpoints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a replayed batch reports success, not error, and one bad row rejects only itself, never the whole batch.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 tiered attendance-evidence model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in which no fallback tier below the top may deny entry on its own.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 mandatory AI fallback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for every AI-backed feature.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The rule underlying all of the above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: no automated tier — a face score, a GPS fix, an OCR confidence value, an AI answer — may alone refuse a person something that costs them income or access.</w:t>
      </w:r>
    </w:p>
    <w:p>
      <w:pPr>
        <w:pStyle w:val="Heading1"/>
        <w:pageBreakBefore/>
        <w:pBdr>
          <w:bottom w:val="single" w:color="1F3864" w:sz="6" w:space="4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5. Non-Functional Requirements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5.1 Performance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Gate decisions are made and recorded without waiting on a network round trip, by design.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OCR extraction targets a few seconds per document, with an automatic engine fallback and a manual-entry path.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Standard list-view pagination (20 records/page) keeps response times bounded regardless of a society's history.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Built and tested for a residential-community concurrency profile; horizontal scaling across societies is an infrastructure question, not an architectural one.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5.2 Security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Default-deny role-based access control on every endpoint.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Structural multi-tenant isolation via a society reference on every scoped model and query.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Aadhaar numbers never stored in full; masked display and hashed duplicate-detection only.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No card or bank data stored — delegated entirely to Razorpay, with every webhook signature-verified.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 below-threshold face match is never a denial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routed instead to a guard for an explicit, logged decision.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Short-lived JWT access tokens with rotating, revocable refresh tokens.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Purpose-limited, individually-revocable consent per sensitive-data purpose.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All client-server traffic over HTTPS.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5.3 Scalability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Multi-tenant by construction and keyed on society; onboarding a new society needs no architectural change.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AI layer's four-tier fallback and local rate limiting let AI usage degrade gracefully rather than fail outright at a free-tier ceiling.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Idempotent sweeps scale with read traffic today and move onto a real scheduler later with no logic change.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5.4 Reliability &amp; Availability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Every AI, OCR, and face-verification feature ships with a working fallback in the same change as the feature itself.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Gate verification survives both network loss and AI-service outage via its tiered fallback, never denying entry automatically.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Payment state advances only on a cryptographically verified gateway message; every webhook is logged and deduplicated.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minimum three-year audit trail across bookings, attendance, payments, gate events, and complaints; seven years for financial records.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mobile client shows an explicit "waking up the server" state rather than a silent hang during a free-tier cold start.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5.5 Usability &amp; Accessibility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first-time user completes registration and a first meaningful action within about five minutes, unassisted.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Clear iconography and simple language across varying digital-literacy levels.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Multilingual support (English, Hindi, Marathi) as a present-day capability.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printed QR card and resident-operated scan fallback keep a worker without a smartphone from being excluded.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5.6 Auditability &amp; Compliance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complete, append-only audit trail across bookings, attendance, gate events, payments, and complaints (3-year minimum; 7 years for financial records).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Every trust score and recommendation ranking stored with a frozen, per-component breakdown.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Identity-document handling follows a minimisation-first posture aligned with India's DPDP Act and UIDAI restrictions — an engineering default, not a substitute for legal review at scale.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CSV/PDF export for attendance, payment, and complaint records.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5.7 Deployment Requirements &amp; Infrastructure Strategy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current deployment runs entirely on free-tier infrastructure, treated as an architectural input rather than a temporary shortcut: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API hosting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: a single Render free web service (Singapore), Gunicorn with one worker/four threads to fit 512 MB RAM.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Database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: PostgreSQL on Supabase's free tier via its connection pooler, with connection reuse to reduce churn.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Media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: Supabase Storage, since the host's own filesystem is ephemeral and wiped on every restart or sleep cycle.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The two hardest constraints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: a ~50-second free-tier cold start, addressed by making gate verification offline-first rather than server-dependent; and 512 MB of RAM being unable to hold Django and the OCR/face stack together, addressed today by running the CV stack locally for development/demo, with a small dedicated microservice or a lighter on-device model identified as the production paths.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No background scheduler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: every would-be cron job runs as an idempotent, bounded sweep instead.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Payments run in Razorpay test mode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with a code-level guard rail refusing to initiate a live transaction while test mode is enabled.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pre-planned, pre-costed migration path off free infrastructure (Section 2.3), triggered by named ceilings rather than a calendar date.</w:t>
      </w:r>
    </w:p>
    <w:p>
      <w:pPr>
        <w:pStyle w:val="Heading1"/>
        <w:pageBreakBefore/>
        <w:pBdr>
          <w:bottom w:val="single" w:color="1F3864" w:sz="6" w:space="4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6. Future Scope &amp; Roadmap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Natural extensions of the existing architecture, deliberately out of the current release so the present system stays focused, tested, and free to run: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 public iOS release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the Flutter codebase extends without a rewrite; requires an Apple Developer Program enrolment.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Insurance integration for domestic workers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building on the existing verified-identity and attendance history.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Loan-eligibility assessment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from a worker's verified employment and payment history.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 portable digital salary/employment record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a worker can carry between households and platforms.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Smart-gate hardware integration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(turnstiles, dedicated biometric readers) alongside the existing QR/face workflow.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 learned-model replacement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for the rule-based recommendation scorer, a swap the architecture already supports without touching the hiring flow.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AI-driven attendance-absence prediction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AI-assisted fraud detection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building on the existing AI usage-logging foundation.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An AI smart-scheduler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to optimise timing across a worker's engagements.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Automated monthly insight summaries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for workers and residents.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Self-serve subscription checkout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once the hand-sold Standard/Plus tiers prove a repeatable sales motion.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RazorpayX payouts and full Razorpay Route splitting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formalising tip and replacement settlement as worker banking coverage grows.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Expanded biometric and voice-assistant capabilities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beyond gate verification.</w:t>
      </w:r>
    </w:p>
    <w:p>
      <w:pPr>
        <w:pStyle w:val="ListParagraph"/>
        <w:numPr>
          <w:ilvl w:val="0"/>
          <w:numId w:val="1"/>
        </w:numPr>
        <w:spacing w:after="100" w:line="276"/>
        <w:ind w:left="403" w:hanging="25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1"/>
          <w:szCs w:val="21"/>
        </w:rPr>
        <w:t xml:space="preserve">A move from Razorpay test mode to live processing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contingent on business verification.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080" w:right="1080" w:bottom="108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Page </w:t>
    </w:r>
    <w:r>
      <w:rPr>
        <w:rFonts w:ascii="Times New Roman" w:cs="Times New Roman" w:eastAsia="Times New Roman" w:hAnsi="Times New Roman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 of </w:t>
    </w:r>
    <w:r>
      <w:rPr>
        <w:rFonts w:ascii="Times New Roman" w:cs="Times New Roman" w:eastAsia="Times New Roman" w:hAnsi="Times New Roman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Times New Roman" w:cs="Times New Roman" w:eastAsia="Times New Roman" w:hAnsi="Times New Roman"/>
        <w:i/>
        <w:iCs/>
        <w:color w:val="555555"/>
        <w:sz w:val="16"/>
        <w:szCs w:val="16"/>
      </w:rPr>
      <w:t xml:space="preserve">Sathify — Software Requirements Specification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5a210fe020215bd410ba4871f4331da2380b3c9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2026-08-09T08:20:06.056Z</dcterms:created>
  <dcterms:modified xsi:type="dcterms:W3CDTF">2026-08-09T08:20:06.056Z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