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SecComply Policy Document</w:t>
      </w:r>
    </w:p>
    <w:p>
      <w:pPr>
        <w:spacing w:after="300"/>
        <w:jc w:val="center"/>
      </w:pPr>
      <w:r>
        <w:drawing>
          <wp:inline distT="0" distB="0" distL="0" distR="0">
            <wp:extent cx="152400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after="200"/>
        <w:jc w:val="center"/>
      </w:pPr>
      <w:r>
        <w:t xml:space="preserve">Acceptance Usage Policy</w:t>
      </w:r>
    </w:p>
    <w:p>
      <w:pPr>
        <w:spacing w:after="400"/>
        <w:jc w:val="right"/>
      </w:pPr>
      <w:r>
        <w:rPr>
          <w:b/>
          <w:bCs/>
        </w:rPr>
        <w:t xml:space="preserve">Owner: Atharva</w:t>
      </w:r>
    </w:p>
    <w:p>
      <w:pPr>
        <w:spacing w:after="800"/>
        <w:jc w:val="right"/>
      </w:pPr>
      <w:r>
        <w:rPr>
          <w:i/>
          <w:iCs/>
        </w:rPr>
        <w:t xml:space="preserve">Generated: 7/4/2025</w:t>
      </w:r>
    </w:p>
    <w:p>
      <w:pPr>
        <w:spacing w:after="800"/>
      </w:pPr>
      <w:r>
        <w:rPr>
          <w:i/>
          <w:iCs/>
          <w:color w:val="CC0000"/>
        </w:rPr>
        <w:t xml:space="preserve">Note: This is a fallback document generated because the original template couldn't be processed.</w:t>
      </w:r>
    </w:p>
    <w:p>
      <w:pPr>
        <w:spacing w:after="200"/>
      </w:pPr>
      <w:r>
        <w:t xml:space="preserve">Based on template: Acceptance Usage Policy</w:t>
      </w:r>
    </w:p>
    <w:p>
      <w:pPr>
        <w:spacing w:after="200"/>
      </w:pPr>
      <w:r>
        <w:t xml:space="preserve">This is a policy document for SecComply.</w:t>
      </w:r>
    </w:p>
    <w:p>
      <w:pPr>
        <w:spacing w:after="200"/>
      </w:pPr>
      <w:r>
        <w:t xml:space="preserve">Document owner: Atharva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2025-04-07T12:34:31.567Z</dcterms:created>
  <dcterms:modified xsi:type="dcterms:W3CDTF">2025-04-07T12:34:31.567Z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