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SecComply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4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200"/>
      </w:pPr>
      <w:r>
        <w:t xml:space="preserve">This document is a Acceptance Usage Policy for SecComply.</w:t>
      </w:r>
    </w:p>
    <w:p>
      <w:pPr>
        <w:spacing w:after="400"/>
      </w:pPr>
      <w:r>
        <w:t xml:space="preserve">As the owner of this policy, Atharva is responsible for its implementation and maintenance.</w:t>
      </w:r>
    </w:p>
    <w:p>
      <w:pPr>
        <w:spacing w:after="0"/>
        <w:jc w:val="center"/>
      </w:pPr>
      <w:r>
        <w:rPr>
          <w:i/>
          <w:iCs/>
        </w:rPr>
        <w:t xml:space="preserve">© 2025 SecComply - All Rights Reserved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2025-04-07T12:48:38.643Z</dcterms:created>
  <dcterms:modified xsi:type="dcterms:W3CDTF">2025-04-07T12:48:38.643Z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