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- Policy Document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SecComply</w:t>
      </w:r>
    </w:p>
    <w:p>
      <w:pPr>
        <w:jc w:val="center"/>
      </w:pPr>
      <w:r>
        <w:t xml:space="preserve">Owner: Atharva</w:t>
      </w:r>
    </w:p>
    <w:p>
      <w:pPr>
        <w:spacing w:after="400"/>
        <w:jc w:val="center"/>
      </w:pPr>
      <w:r>
        <w:t xml:space="preserve">Date: 7/4/2025</w:t>
      </w:r>
    </w:p>
    <w:p>
      <w:pPr>
        <w:pStyle w:val="Heading1"/>
        <w:spacing w:before="200" w:after="200"/>
      </w:pPr>
      <w:r>
        <w:t xml:space="preserve">Acceptance Usage Policy Policy</w:t>
      </w:r>
    </w:p>
    <w:p>
      <w:pPr>
        <w:spacing w:after="200"/>
      </w:pPr>
      <w:r>
        <w:t xml:space="preserve">This policy document was generated for SecComply and is effective as of 7/4/2025.</w:t>
      </w:r>
    </w:p>
    <w:p>
      <w:pPr>
        <w:pStyle w:val="Heading2"/>
        <w:spacing w:before="200" w:after="120"/>
      </w:pPr>
      <w:r>
        <w:t xml:space="preserve">1. Introduction</w:t>
      </w:r>
    </w:p>
    <w:p>
      <w:pPr>
        <w:spacing w:after="120"/>
      </w:pPr>
      <w:r>
        <w:t xml:space="preserve">This document outlines the Acceptance Usage Policy Policy for SecComply.</w:t>
      </w:r>
    </w:p>
    <w:p>
      <w:pPr>
        <w:pStyle w:val="Heading2"/>
        <w:spacing w:before="200" w:after="120"/>
      </w:pPr>
      <w:r>
        <w:t xml:space="preserve">2. Scope</w:t>
      </w:r>
    </w:p>
    <w:p>
      <w:pPr>
        <w:spacing w:after="120"/>
      </w:pPr>
      <w:r>
        <w:t xml:space="preserve">This policy applies to all employees and contractors of SecComply.</w:t>
      </w:r>
    </w:p>
    <w:p>
      <w:pPr>
        <w:pStyle w:val="Heading2"/>
        <w:spacing w:before="200" w:after="120"/>
      </w:pPr>
      <w:r>
        <w:t xml:space="preserve">3. Policy Statement</w:t>
      </w:r>
    </w:p>
    <w:p>
      <w:pPr>
        <w:spacing w:after="120"/>
      </w:pPr>
      <w:r>
        <w:t xml:space="preserve">SecComply is committed to maintaining high standards of information security, data protection, and compliance.</w:t>
      </w:r>
    </w:p>
    <w:p>
      <w:pPr>
        <w:pStyle w:val="Heading2"/>
        <w:spacing w:before="200" w:after="120"/>
      </w:pPr>
      <w:r>
        <w:t xml:space="preserve">4. Responsibilities</w:t>
      </w:r>
    </w:p>
    <w:p>
      <w:pPr>
        <w:spacing w:after="120"/>
      </w:pPr>
      <w:r>
        <w:t xml:space="preserve">Atharva is responsible for the implementation and enforcement of this policy.</w:t>
      </w:r>
    </w:p>
    <w:p>
      <w:pPr>
        <w:pStyle w:val="Heading2"/>
        <w:spacing w:before="200" w:after="120"/>
      </w:pPr>
      <w:r>
        <w:t xml:space="preserve">5. Compliance</w:t>
      </w:r>
    </w:p>
    <w:p>
      <w:pPr>
        <w:spacing w:after="120"/>
      </w:pPr>
      <w:r>
        <w:t xml:space="preserve">Failure to comply with this policy may result in disciplinary action.</w:t>
      </w:r>
    </w:p>
    <w:p>
      <w:pPr>
        <w:spacing w:before="400"/>
        <w:jc w:val="right"/>
      </w:pPr>
      <w:r>
        <w:t xml:space="preserve">Approved by: Atharva</w:t>
      </w:r>
    </w:p>
    <w:p>
      <w:pPr>
        <w:jc w:val="right"/>
      </w:pPr>
      <w:r>
        <w:t xml:space="preserve">Date: 7/4/2025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eb644fc7576e6061d9582fe1409cf8d722f959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2025-04-07T13:27:11.942Z</dcterms:created>
  <dcterms:modified xsi:type="dcterms:W3CDTF">2025-04-07T13:27:11.942Z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