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center"/>
        <w:rPr>
          <w:rFonts w:ascii="Calibri" w:cs="Calibri" w:eastAsia="Calibri" w:hAnsi="Calibri"/>
          <w:b w:val="1"/>
          <w:i w:val="0"/>
          <w:smallCaps w:val="0"/>
          <w:strike w:val="0"/>
          <w:color w:val="1f497d"/>
          <w:sz w:val="44"/>
          <w:szCs w:val="44"/>
          <w:u w:val="none"/>
          <w:shd w:fill="auto" w:val="clear"/>
          <w:vertAlign w:val="baseline"/>
        </w:rPr>
      </w:pPr>
      <w:r w:rsidDel="00000000" w:rsidR="00000000" w:rsidRPr="00000000">
        <w:rPr>
          <w:rFonts w:ascii="Calibri" w:cs="Calibri" w:eastAsia="Calibri" w:hAnsi="Calibri"/>
          <w:b w:val="1"/>
          <w:color w:val="1f497d"/>
          <w:sz w:val="44"/>
          <w:szCs w:val="44"/>
          <w:rtl w:val="0"/>
        </w:rPr>
        <w:t xml:space="preserve">Week 10 </w:t>
      </w:r>
      <w:r w:rsidDel="00000000" w:rsidR="00000000" w:rsidRPr="00000000">
        <w:rPr>
          <w:rFonts w:ascii="Calibri" w:cs="Calibri" w:eastAsia="Calibri" w:hAnsi="Calibri"/>
          <w:b w:val="1"/>
          <w:i w:val="0"/>
          <w:smallCaps w:val="0"/>
          <w:strike w:val="0"/>
          <w:color w:val="1f497d"/>
          <w:sz w:val="44"/>
          <w:szCs w:val="44"/>
          <w:u w:val="none"/>
          <w:shd w:fill="auto" w:val="clear"/>
          <w:vertAlign w:val="baseline"/>
          <w:rtl w:val="0"/>
        </w:rPr>
        <w:t xml:space="preserve">Penetration Testing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i w:val="0"/>
          <w:smallCaps w:val="0"/>
          <w:strike w:val="0"/>
          <w:color w:val="1f497d"/>
          <w:sz w:val="32"/>
          <w:szCs w:val="32"/>
          <w:u w:val="none"/>
          <w:shd w:fill="auto" w:val="clear"/>
          <w:vertAlign w:val="baseline"/>
        </w:rPr>
      </w:pPr>
      <w:r w:rsidDel="00000000" w:rsidR="00000000" w:rsidRPr="00000000">
        <w:rPr>
          <w:rtl w:val="0"/>
        </w:rPr>
        <w:br w:type="textWrapping"/>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document hereby describes the proceedings and results of a Black Box security assessment conducted against</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b w:val="1"/>
          <w:rtl w:val="0"/>
        </w:rPr>
        <w:t xml:space="preserve"> Week 10 Labs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report hereby lists the findings and corresponding best practice mitigation actions and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1.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objective of the assessment was to uncover vulnerabilities in the </w:t>
      </w:r>
      <w:r w:rsidDel="00000000" w:rsidR="00000000" w:rsidRPr="00000000">
        <w:rPr>
          <w:rFonts w:ascii="Calibri" w:cs="Calibri" w:eastAsia="Calibri" w:hAnsi="Calibri"/>
          <w:b w:val="1"/>
          <w:rtl w:val="0"/>
        </w:rPr>
        <w:t xml:space="preserve">Week 10 Labs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provide a final security assessment report comprising vulnerabilities, remediation strategy and recommendation guidelines to help mitigate the identified vulnerabilities and risks during the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2.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bookmarkStart w:colFirst="0" w:colLast="0" w:name="_1fob9te" w:id="0"/>
      <w:bookmarkEnd w:id="0"/>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qtzkh68wa2m"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section defines the scope and boundaries of the project.</w:t>
      </w:r>
    </w:p>
    <w:tbl>
      <w:tblPr>
        <w:tblStyle w:val="Table1"/>
        <w:tblW w:w="8915.0" w:type="dxa"/>
        <w:jc w:val="left"/>
        <w:tblInd w:w="0.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751"/>
        <w:gridCol w:w="7164"/>
        <w:tblGridChange w:id="0">
          <w:tblGrid>
            <w:gridCol w:w="1751"/>
            <w:gridCol w:w="7164"/>
          </w:tblGrid>
        </w:tblGridChange>
      </w:tblGrid>
      <w:tr>
        <w:trPr>
          <w:cantSplit w:val="0"/>
          <w:trHeight w:val="411" w:hRule="atLeast"/>
          <w:tblHeader w:val="0"/>
        </w:trPr>
        <w:tc>
          <w:tcPr>
            <w:tcBorders>
              <w:top w:color="95b3d7" w:space="0" w:sz="4" w:val="single"/>
            </w:tcBorders>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Application Name</w:t>
            </w:r>
          </w:p>
        </w:tc>
        <w:tc>
          <w:tcPr>
            <w:tcBorders>
              <w:top w:color="95b3d7" w:space="0" w:sz="4" w:val="single"/>
            </w:tcBorders>
          </w:tcPr>
          <w:p w:rsidR="00000000" w:rsidDel="00000000" w:rsidP="00000000" w:rsidRDefault="00000000" w:rsidRPr="00000000" w14:paraId="0000000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{Capture the Flag}</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hanging="142"/>
        <w:jc w:val="both"/>
        <w:rPr>
          <w:rFonts w:ascii="Calibri" w:cs="Calibri" w:eastAsia="Calibri" w:hAnsi="Calibri"/>
          <w:b w:val="1"/>
          <w:color w:val="1f497d"/>
          <w:sz w:val="32"/>
          <w:szCs w:val="32"/>
        </w:rPr>
      </w:pPr>
      <w:bookmarkStart w:colFirst="0" w:colLast="0" w:name="_1t3h5sf" w:id="2"/>
      <w:bookmarkEnd w:id="2"/>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3. Summary</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284" w:firstLine="142"/>
        <w:jc w:val="both"/>
        <w:rPr>
          <w:rFonts w:ascii="Calibri" w:cs="Calibri" w:eastAsia="Calibri" w:hAnsi="Calibri"/>
        </w:rPr>
      </w:pPr>
      <w:r w:rsidDel="00000000" w:rsidR="00000000" w:rsidRPr="00000000">
        <w:rPr>
          <w:rFonts w:ascii="Calibri" w:cs="Calibri" w:eastAsia="Calibri" w:hAnsi="Calibri"/>
          <w:rtl w:val="0"/>
        </w:rPr>
        <w:t xml:space="preserve">Outlined is a Black Box Application Security assessment for the </w:t>
      </w:r>
      <w:r w:rsidDel="00000000" w:rsidR="00000000" w:rsidRPr="00000000">
        <w:rPr>
          <w:rFonts w:ascii="Calibri" w:cs="Calibri" w:eastAsia="Calibri" w:hAnsi="Calibri"/>
          <w:b w:val="1"/>
          <w:rtl w:val="0"/>
        </w:rPr>
        <w:t xml:space="preserve">Week 10 Labs</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42"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number of </w:t>
      </w: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b w:val="1"/>
          <w:color w:val="000000"/>
          <w:rtl w:val="0"/>
        </w:rPr>
        <w:t xml:space="preserve">ub-labs:</w:t>
      </w:r>
      <w:r w:rsidDel="00000000" w:rsidR="00000000" w:rsidRPr="00000000">
        <w:rPr>
          <w:rFonts w:ascii="Calibri" w:cs="Calibri" w:eastAsia="Calibri" w:hAnsi="Calibri"/>
          <w:b w:val="1"/>
          <w:rtl w:val="0"/>
        </w:rPr>
        <w:t xml:space="preserve"> 1 Sub-labs</w:t>
      </w:r>
      <w:r w:rsidDel="00000000" w:rsidR="00000000" w:rsidRPr="00000000">
        <w:rPr>
          <w:rtl w:val="0"/>
        </w:rPr>
      </w:r>
    </w:p>
    <w:p w:rsidR="00000000" w:rsidDel="00000000" w:rsidP="00000000" w:rsidRDefault="00000000" w:rsidRPr="00000000" w14:paraId="00000017">
      <w:pPr>
        <w:spacing w:after="200" w:line="276" w:lineRule="auto"/>
        <w:ind w:left="142" w:hanging="142"/>
        <w:rPr>
          <w:rFonts w:ascii="Calibri" w:cs="Calibri" w:eastAsia="Calibri" w:hAnsi="Calibri"/>
          <w:b w:val="1"/>
          <w:sz w:val="22"/>
          <w:szCs w:val="22"/>
        </w:rPr>
      </w:pPr>
      <w:r w:rsidDel="00000000" w:rsidR="00000000" w:rsidRPr="00000000">
        <w:rPr>
          <w:rtl w:val="0"/>
        </w:rPr>
      </w:r>
    </w:p>
    <w:tbl>
      <w:tblPr>
        <w:tblStyle w:val="Table2"/>
        <w:tblW w:w="9247.0" w:type="dxa"/>
        <w:jc w:val="left"/>
        <w:tblInd w:w="0.0" w:type="dxa"/>
        <w:tblBorders>
          <w:top w:color="4bacc6" w:space="0" w:sz="8" w:val="single"/>
          <w:left w:color="000000" w:space="0" w:sz="4" w:val="single"/>
          <w:bottom w:color="4bacc6" w:space="0" w:sz="8" w:val="single"/>
          <w:right w:color="000000" w:space="0" w:sz="4" w:val="single"/>
          <w:insideH w:color="000000" w:space="0" w:sz="4" w:val="single"/>
          <w:insideV w:color="000000" w:space="0" w:sz="4" w:val="single"/>
        </w:tblBorders>
        <w:tblLayout w:type="fixed"/>
        <w:tblLook w:val="0400"/>
      </w:tblPr>
      <w:tblGrid>
        <w:gridCol w:w="3081"/>
        <w:gridCol w:w="3083"/>
        <w:gridCol w:w="3083"/>
        <w:tblGridChange w:id="0">
          <w:tblGrid>
            <w:gridCol w:w="3081"/>
            <w:gridCol w:w="3083"/>
            <w:gridCol w:w="3083"/>
          </w:tblGrid>
        </w:tblGridChange>
      </w:tblGrid>
      <w:tr>
        <w:trPr>
          <w:cantSplit w:val="0"/>
          <w:trHeight w:val="406" w:hRule="atLeast"/>
          <w:tblHeader w:val="0"/>
        </w:trPr>
        <w:tc>
          <w:tcPr>
            <w:tcBorders>
              <w:left w:color="95b3d7" w:space="0" w:sz="4" w:val="single"/>
              <w:bottom w:color="95b3d7" w:space="0" w:sz="4" w:val="single"/>
              <w:right w:color="95b3d7" w:space="0" w:sz="4" w:val="single"/>
            </w:tcBorders>
          </w:tcPr>
          <w:p w:rsidR="00000000" w:rsidDel="00000000" w:rsidP="00000000" w:rsidRDefault="00000000" w:rsidRPr="00000000" w14:paraId="00000018">
            <w:pPr>
              <w:spacing w:after="200" w:lineRule="auto"/>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High</w:t>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9">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f79646"/>
                <w:sz w:val="20"/>
                <w:szCs w:val="20"/>
                <w:rtl w:val="0"/>
              </w:rPr>
              <w:t xml:space="preserve">Medium</w:t>
            </w:r>
            <w:r w:rsidDel="00000000" w:rsidR="00000000" w:rsidRPr="00000000">
              <w:rPr>
                <w:rtl w:val="0"/>
              </w:rPr>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A">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tl w:val="0"/>
              </w:rPr>
            </w:r>
          </w:p>
        </w:tc>
      </w:tr>
      <w:tr>
        <w:trPr>
          <w:cantSplit w:val="0"/>
          <w:trHeight w:val="416" w:hRule="atLeast"/>
          <w:tblHeader w:val="0"/>
        </w:trPr>
        <w:tc>
          <w:tcPr>
            <w:tcBorders>
              <w:top w:color="95b3d7" w:space="0" w:sz="4" w:val="single"/>
              <w:left w:color="95b3d7" w:space="0" w:sz="4" w:val="single"/>
              <w:right w:color="95b3d7" w:space="0" w:sz="4" w:val="single"/>
            </w:tcBorders>
          </w:tcPr>
          <w:p w:rsidR="00000000" w:rsidDel="00000000" w:rsidP="00000000" w:rsidRDefault="00000000" w:rsidRPr="00000000" w14:paraId="0000001B">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C">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D">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r>
    </w:tbl>
    <w:p w:rsidR="00000000" w:rsidDel="00000000" w:rsidP="00000000" w:rsidRDefault="00000000" w:rsidRPr="00000000" w14:paraId="0000001E">
      <w:pPr>
        <w:spacing w:after="200"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F">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High</w:t>
      </w:r>
      <w:r w:rsidDel="00000000" w:rsidR="00000000" w:rsidRPr="00000000">
        <w:rPr>
          <w:rFonts w:ascii="Calibri" w:cs="Calibri" w:eastAsia="Calibri" w:hAnsi="Calibri"/>
          <w:b w:val="1"/>
          <w:sz w:val="22"/>
          <w:szCs w:val="22"/>
          <w:rtl w:val="0"/>
        </w:rPr>
        <w:tab/>
        <w:tab/>
      </w:r>
      <w:r w:rsidDel="00000000" w:rsidR="00000000" w:rsidRPr="00000000">
        <w:rPr>
          <w:rFonts w:ascii="Calibri" w:cs="Calibri" w:eastAsia="Calibri" w:hAnsi="Calibri"/>
          <w:b w:val="1"/>
          <w:sz w:val="22"/>
          <w:szCs w:val="22"/>
          <w:rtl w:val="0"/>
        </w:rPr>
        <w:t xml:space="preserve">-</w:t>
        <w:tab/>
        <w:t xml:space="preserve">Number of Sub-labs with hard difficulty level</w:t>
      </w:r>
    </w:p>
    <w:p w:rsidR="00000000" w:rsidDel="00000000" w:rsidP="00000000" w:rsidRDefault="00000000" w:rsidRPr="00000000" w14:paraId="00000020">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79646"/>
          <w:sz w:val="20"/>
          <w:szCs w:val="20"/>
          <w:rtl w:val="0"/>
        </w:rPr>
        <w:t xml:space="preserve">Medium</w:t>
        <w:tab/>
        <w:tab/>
      </w:r>
      <w:r w:rsidDel="00000000" w:rsidR="00000000" w:rsidRPr="00000000">
        <w:rPr>
          <w:rFonts w:ascii="Calibri" w:cs="Calibri" w:eastAsia="Calibri" w:hAnsi="Calibri"/>
          <w:b w:val="1"/>
          <w:sz w:val="22"/>
          <w:szCs w:val="22"/>
          <w:rtl w:val="0"/>
        </w:rPr>
        <w:t xml:space="preserve">-</w:t>
        <w:tab/>
        <w:t xml:space="preserve">Number of Sub-labs with Medium difficulty level</w:t>
      </w:r>
    </w:p>
    <w:p w:rsidR="00000000" w:rsidDel="00000000" w:rsidP="00000000" w:rsidRDefault="00000000" w:rsidRPr="00000000" w14:paraId="00000021">
      <w:pPr>
        <w:spacing w:after="200" w:line="276" w:lineRule="auto"/>
        <w:rPr>
          <w:color w:val="1f497d"/>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Fonts w:ascii="Calibri" w:cs="Calibri" w:eastAsia="Calibri" w:hAnsi="Calibri"/>
          <w:b w:val="1"/>
          <w:sz w:val="22"/>
          <w:szCs w:val="22"/>
          <w:rtl w:val="0"/>
        </w:rPr>
        <w:tab/>
        <w:tab/>
        <w:t xml:space="preserve">-</w:t>
        <w:tab/>
        <w:t xml:space="preserve">Number of Sub-labs with Easy difficulty level</w:t>
      </w:r>
      <w:r w:rsidDel="00000000" w:rsidR="00000000" w:rsidRPr="00000000">
        <w:rPr>
          <w:rtl w:val="0"/>
        </w:rPr>
      </w:r>
    </w:p>
    <w:p w:rsidR="00000000" w:rsidDel="00000000" w:rsidP="00000000" w:rsidRDefault="00000000" w:rsidRPr="00000000" w14:paraId="00000022">
      <w:pPr>
        <w:pStyle w:val="Heading1"/>
        <w:spacing w:after="0" w:lineRule="auto"/>
        <w:ind w:left="0" w:firstLine="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lineRule="auto"/>
        <w:ind w:left="0" w:firstLine="0"/>
        <w:rPr>
          <w:color w:val="1f497d"/>
        </w:rPr>
      </w:pPr>
      <w:r w:rsidDel="00000000" w:rsidR="00000000" w:rsidRPr="00000000">
        <w:rPr>
          <w:color w:val="1f497d"/>
          <w:rtl w:val="0"/>
        </w:rPr>
        <w:t xml:space="preserve">1. {Capture the Flag}</w:t>
      </w:r>
    </w:p>
    <w:p w:rsidR="00000000" w:rsidDel="00000000" w:rsidP="00000000" w:rsidRDefault="00000000" w:rsidRPr="00000000" w14:paraId="00000024">
      <w:pPr>
        <w:pStyle w:val="Heading1"/>
        <w:spacing w:after="0" w:lineRule="auto"/>
        <w:ind w:left="0" w:firstLine="0"/>
        <w:rPr>
          <w:color w:val="1f497d"/>
        </w:rPr>
      </w:pPr>
      <w:r w:rsidDel="00000000" w:rsidR="00000000" w:rsidRPr="00000000">
        <w:rPr>
          <w:color w:val="1f497d"/>
          <w:rtl w:val="0"/>
        </w:rPr>
        <w:t xml:space="preserve">1.1. {Capture the Flag</w:t>
        <w:tab/>
        <w:t xml:space="preserve">}</w:t>
      </w:r>
    </w:p>
    <w:p w:rsidR="00000000" w:rsidDel="00000000" w:rsidP="00000000" w:rsidRDefault="00000000" w:rsidRPr="00000000" w14:paraId="00000025">
      <w:pPr>
        <w:rPr/>
      </w:pPr>
      <w:r w:rsidDel="00000000" w:rsidR="00000000" w:rsidRPr="00000000">
        <w:rPr>
          <w:rtl w:val="0"/>
        </w:rPr>
      </w:r>
    </w:p>
    <w:tbl>
      <w:tblPr>
        <w:tblStyle w:val="Table3"/>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Capture the Flag</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Burp suite, CTF tool</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performing two security vulnerabilities as SQL Injection and Server Side Request Forgery (SSRF). Initially, I performed SQL Injection on login page where I got password as vulnerable field and with the help of successful payload input I got next page as URL loader where I performed SSRF and successfully captured the flag.</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2"/>
                <w:szCs w:val="22"/>
                <w:rtl w:val="0"/>
              </w:rPr>
              <w:t xml:space="preserve">Automated Tools and 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8">
            <w:pPr>
              <w:jc w:val="both"/>
              <w:rPr>
                <w:rFonts w:ascii="Calibri" w:cs="Calibri" w:eastAsia="Calibri" w:hAnsi="Calibri"/>
                <w:sz w:val="22"/>
                <w:szCs w:val="22"/>
              </w:rPr>
            </w:pPr>
            <w:hyperlink r:id="rId6">
              <w:r w:rsidDel="00000000" w:rsidR="00000000" w:rsidRPr="00000000">
                <w:rPr>
                  <w:rFonts w:ascii="Calibri" w:cs="Calibri" w:eastAsia="Calibri" w:hAnsi="Calibri"/>
                  <w:color w:val="1155cc"/>
                  <w:sz w:val="22"/>
                  <w:szCs w:val="22"/>
                  <w:u w:val="single"/>
                  <w:rtl w:val="0"/>
                </w:rPr>
                <w:t xml:space="preserve">https://www.bugbountyhunter.org/internship_labs/HTML/ctf/index.php</w:t>
              </w:r>
            </w:hyperlink>
            <w:r w:rsidDel="00000000" w:rsidR="00000000" w:rsidRPr="00000000">
              <w:rPr>
                <w:rtl w:val="0"/>
              </w:rPr>
            </w:r>
          </w:p>
          <w:p w:rsidR="00000000" w:rsidDel="00000000" w:rsidP="00000000" w:rsidRDefault="00000000" w:rsidRPr="00000000" w14:paraId="00000039">
            <w:pPr>
              <w:jc w:val="both"/>
              <w:rPr>
                <w:rFonts w:ascii="Calibri" w:cs="Calibri" w:eastAsia="Calibri" w:hAnsi="Calibri"/>
                <w:sz w:val="22"/>
                <w:szCs w:val="22"/>
              </w:rPr>
            </w:pPr>
            <w:hyperlink r:id="rId7">
              <w:r w:rsidDel="00000000" w:rsidR="00000000" w:rsidRPr="00000000">
                <w:rPr>
                  <w:rFonts w:ascii="Calibri" w:cs="Calibri" w:eastAsia="Calibri" w:hAnsi="Calibri"/>
                  <w:color w:val="1155cc"/>
                  <w:sz w:val="22"/>
                  <w:szCs w:val="22"/>
                  <w:u w:val="single"/>
                  <w:rtl w:val="0"/>
                </w:rPr>
                <w:t xml:space="preserve">https://www.bugbountyhunter.org/internship_labs/HTML/ctf/index.php?url=http%3A%2F%2F%5B%3A%3A%5D%3A8000</w:t>
              </w:r>
            </w:hyperlink>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Stealing credentials, access to the database, altering or modifying data, access to the network.</w:t>
            </w:r>
          </w:p>
          <w:p w:rsidR="00000000" w:rsidDel="00000000" w:rsidP="00000000" w:rsidRDefault="00000000" w:rsidRPr="00000000" w14:paraId="0000003E">
            <w:pPr>
              <w:jc w:val="both"/>
              <w:rPr>
                <w:rFonts w:ascii="Calibri" w:cs="Calibri" w:eastAsia="Calibri" w:hAnsi="Calibri"/>
              </w:rPr>
            </w:pPr>
            <w:r w:rsidDel="00000000" w:rsidR="00000000" w:rsidRPr="00000000">
              <w:rPr>
                <w:rFonts w:ascii="Calibri" w:cs="Calibri" w:eastAsia="Calibri" w:hAnsi="Calibri"/>
                <w:rtl w:val="0"/>
              </w:rPr>
              <w:t xml:space="preserve">Taking over information of IP Address, Remote Code Execution, and IP address of servers running behind a reverse proxy.</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stored procedures instead of dynamic SQL, prepared statements, least privilege access and input validation, character escaping, vulnerability scanner, firewall, whitelist domains, enforcing URL Schemas, enable authentication and validation of all inputs.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6">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https://ctfd.io/whats-a-ctf/</w:t>
              </w:r>
            </w:hyperlink>
            <w:r w:rsidDel="00000000" w:rsidR="00000000" w:rsidRPr="00000000">
              <w:rPr>
                <w:rtl w:val="0"/>
              </w:rPr>
            </w:r>
          </w:p>
          <w:p w:rsidR="00000000" w:rsidDel="00000000" w:rsidP="00000000" w:rsidRDefault="00000000" w:rsidRPr="00000000" w14:paraId="00000047">
            <w:pPr>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https://www.paloaltonetworks.com/blog/2016/06/unit-42-countdown-to-labyrenth-capture-the-flag-ctf-challenge/</w:t>
              </w:r>
            </w:hyperlink>
            <w:r w:rsidDel="00000000" w:rsidR="00000000" w:rsidRPr="00000000">
              <w:rPr>
                <w:rtl w:val="0"/>
              </w:rPr>
            </w:r>
          </w:p>
        </w:tc>
      </w:tr>
    </w:tbl>
    <w:p w:rsidR="00000000" w:rsidDel="00000000" w:rsidP="00000000" w:rsidRDefault="00000000" w:rsidRPr="00000000" w14:paraId="00000049">
      <w:pPr>
        <w:pStyle w:val="Heading1"/>
        <w:spacing w:after="0" w:lineRule="auto"/>
        <w:ind w:left="0"/>
        <w:rPr>
          <w:color w:val="1f497d"/>
        </w:rPr>
      </w:pPr>
      <w:bookmarkStart w:colFirst="0" w:colLast="0" w:name="_dimwqzjj3jmi" w:id="3"/>
      <w:bookmarkEnd w:id="3"/>
      <w:r w:rsidDel="00000000" w:rsidR="00000000" w:rsidRPr="00000000">
        <w:rPr>
          <w:color w:val="1f497d"/>
          <w:rtl w:val="0"/>
        </w:rPr>
        <w:t xml:space="preserve">Proof of Concept</w:t>
      </w:r>
    </w:p>
    <w:p w:rsidR="00000000" w:rsidDel="00000000" w:rsidP="00000000" w:rsidRDefault="00000000" w:rsidRPr="00000000" w14:paraId="0000004A">
      <w:pPr>
        <w:spacing w:after="200" w:line="276" w:lineRule="auto"/>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731200" cy="2032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276" w:lineRule="auto"/>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734050" cy="139541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76" w:lineRule="auto"/>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731200" cy="1524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sectPr>
      <w:headerReference r:id="rId13" w:type="default"/>
      <w:footerReference r:id="rId14" w:type="default"/>
      <w:pgSz w:h="16838" w:w="11906" w:orient="portrait"/>
      <w:pgMar w:bottom="1440" w:top="1440" w:left="1440" w:right="1440" w:header="648"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360"/>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ind w:left="792" w:hanging="432"/>
    </w:pPr>
    <w:rPr>
      <w:rFonts w:ascii="Calibri" w:cs="Calibri" w:eastAsia="Calibri" w:hAnsi="Calibri"/>
      <w:b w:val="1"/>
      <w:sz w:val="28"/>
      <w:szCs w:val="28"/>
    </w:rPr>
  </w:style>
  <w:style w:type="paragraph" w:styleId="Heading3">
    <w:name w:val="heading 3"/>
    <w:basedOn w:val="Normal"/>
    <w:next w:val="Normal"/>
    <w:pPr>
      <w:keepNext w:val="1"/>
      <w:spacing w:after="60" w:before="240" w:lineRule="auto"/>
      <w:ind w:left="1224" w:hanging="504.00000000000006"/>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loaltonetworks.com/blog/2016/06/unit-42-countdown-to-labyrenth-capture-the-flag-ctf-challeng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ugbountyhunter.org/internship_labs/HTML/ctf/index.php" TargetMode="External"/><Relationship Id="rId7" Type="http://schemas.openxmlformats.org/officeDocument/2006/relationships/hyperlink" Target="https://www.bugbountyhunter.org/internship_labs/HTML/ctf/index.php?url=http%3A%2F%2F%5B%3A%3A%5D%3A8000" TargetMode="External"/><Relationship Id="rId8" Type="http://schemas.openxmlformats.org/officeDocument/2006/relationships/hyperlink" Target="https://ctfd.io/whats-a-c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