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A5F" w:sz="16" w:space="1"/>
        </w:pBdr>
        <w:spacing w:after="80" w:before="0"/>
        <w:jc w:val="center"/>
      </w:pPr>
      <w:r>
        <w:rPr>
          <w:rFonts w:ascii="Arial" w:cs="Arial" w:eastAsia="Arial" w:hAnsi="Arial"/>
          <w:b/>
          <w:bCs/>
          <w:color w:val="1E3A5F"/>
          <w:sz w:val="48"/>
          <w:szCs w:val="48"/>
        </w:rPr>
        <w:t xml:space="preserve">Sales Forecasting &amp; Demand Intelligence</w:t>
      </w:r>
    </w:p>
    <w:p>
      <w:pPr>
        <w:spacing w:after="60" w:before="80"/>
        <w:jc w:val="center"/>
      </w:pPr>
      <w:r>
        <w:rPr>
          <w:rFonts w:ascii="Arial" w:cs="Arial" w:eastAsia="Arial" w:hAnsi="Arial"/>
          <w:color w:val="64748B"/>
          <w:sz w:val="20"/>
          <w:szCs w:val="20"/>
        </w:rPr>
        <w:t xml:space="preserve">Executive Business Report  |  Internship Project Week 3 &amp; 4  |  July 2026</w:t>
      </w:r>
    </w:p>
    <w:p>
      <w:pPr>
        <w:spacing w:after="240" w:before="0"/>
        <w:jc w:val="center"/>
      </w:pPr>
      <w:r>
        <w:rPr>
          <w:rFonts w:ascii="Arial" w:cs="Arial" w:eastAsia="Arial" w:hAnsi="Arial"/>
          <w:i/>
          <w:iCs/>
          <w:color w:val="64748B"/>
          <w:sz w:val="20"/>
          <w:szCs w:val="20"/>
        </w:rPr>
        <w:t xml:space="preserve">Prepared for: Head of Supply Chain &amp; CFO  |  Superstore Retail Group</w:t>
      </w:r>
    </w:p>
    <w:p>
      <w:pPr>
        <w:pStyle w:val="Heading1"/>
        <w:spacing w:after="140" w:before="280"/>
      </w:pPr>
      <w:r>
        <w:rPr>
          <w:rFonts w:ascii="Arial" w:cs="Arial" w:eastAsia="Arial" w:hAnsi="Arial"/>
          <w:b/>
          <w:bCs/>
          <w:color w:val="1E3A5F"/>
          <w:sz w:val="32"/>
          <w:szCs w:val="32"/>
        </w:rPr>
        <w:t xml:space="preserve">1. Executive Summary</w:t>
      </w:r>
    </w:p>
    <w:p>
      <w:pPr>
        <w:spacing w:after="80" w:before="100"/>
        <w:jc w:val="left"/>
      </w:pPr>
      <w:r>
        <w:rPr>
          <w:rFonts w:ascii="Arial" w:cs="Arial" w:eastAsia="Arial" w:hAnsi="Arial"/>
          <w:b w:val="false"/>
          <w:bCs w:val="false"/>
          <w:i w:val="false"/>
          <w:iCs w:val="false"/>
          <w:color w:val="222222"/>
          <w:sz w:val="22"/>
          <w:szCs w:val="22"/>
        </w:rPr>
        <w:t xml:space="preserve">This report presents findings from a four-year analysis of Superstore retail sales data (2020–2023), covering 9,800 transactions across all product categories and US regions. Using three forecasting models, two anomaly detection methods, and machine learning-based product segmentation, the analysis reveals consistent revenue growth of approximately 35% over the period, driven primarily by Technology and Office Supplies. The best-performing model (XGBoost) forecasts continued growth into early 2025, with seasonal spikes expected in Q4. Eleven anomalous sales weeks were detected, most linked to festive and promotional periods. Products have been segmented into four actionable demand clusters to inform stocking strategy. Three concrete recommendations are provided to help the business reduce stockout risk, optimise inventory capital, and improve demand planning accuracy.</w:t>
      </w:r>
    </w:p>
    <w:p>
      <w:pPr>
        <w:pBdr>
          <w:bottom w:val="single" w:color="E2E8F0" w:sz="6" w:space="1"/>
        </w:pBdr>
        <w:spacing w:after="0" w:before="160"/>
      </w:pPr>
    </w:p>
    <w:p>
      <w:pPr>
        <w:pStyle w:val="Heading1"/>
        <w:spacing w:after="140" w:before="280"/>
      </w:pPr>
      <w:r>
        <w:rPr>
          <w:rFonts w:ascii="Arial" w:cs="Arial" w:eastAsia="Arial" w:hAnsi="Arial"/>
          <w:b/>
          <w:bCs/>
          <w:color w:val="1E3A5F"/>
          <w:sz w:val="32"/>
          <w:szCs w:val="32"/>
        </w:rPr>
        <w:t xml:space="preserve">2. Key Findings from Sales Analysis</w:t>
      </w:r>
    </w:p>
    <w:p>
      <w:pPr>
        <w:pStyle w:val="Heading2"/>
        <w:spacing w:after="100" w:before="220"/>
      </w:pPr>
      <w:r>
        <w:rPr>
          <w:rFonts w:ascii="Arial" w:cs="Arial" w:eastAsia="Arial" w:hAnsi="Arial"/>
          <w:b/>
          <w:bCs/>
          <w:color w:val="0369A1"/>
          <w:sz w:val="26"/>
          <w:szCs w:val="26"/>
        </w:rPr>
        <w:t xml:space="preserve">2.1 Revenue &amp; Growth</w:t>
      </w:r>
    </w:p>
    <w:p>
      <w:pPr>
        <w:pStyle w:val="ListParagraph"/>
        <w:numPr>
          <w:ilvl w:val="0"/>
          <w:numId w:val="2"/>
        </w:numPr>
        <w:spacing w:after="60" w:before="60"/>
      </w:pPr>
      <w:r>
        <w:rPr>
          <w:rFonts w:ascii="Arial" w:cs="Arial" w:eastAsia="Arial" w:hAnsi="Arial"/>
          <w:sz w:val="22"/>
          <w:szCs w:val="22"/>
        </w:rPr>
        <w:t xml:space="preserve">Total revenue across 4 years: $11.2M across 9,800 orders</w:t>
      </w:r>
    </w:p>
    <w:p>
      <w:pPr>
        <w:pStyle w:val="ListParagraph"/>
        <w:numPr>
          <w:ilvl w:val="0"/>
          <w:numId w:val="2"/>
        </w:numPr>
        <w:spacing w:after="60" w:before="60"/>
      </w:pPr>
      <w:r>
        <w:rPr>
          <w:rFonts w:ascii="Arial" w:cs="Arial" w:eastAsia="Arial" w:hAnsi="Arial"/>
          <w:sz w:val="22"/>
          <w:szCs w:val="22"/>
        </w:rPr>
        <w:t xml:space="preserve">Technology is the highest-revenue category, followed by Office Supplies and Furniture</w:t>
      </w:r>
    </w:p>
    <w:p>
      <w:pPr>
        <w:pStyle w:val="ListParagraph"/>
        <w:numPr>
          <w:ilvl w:val="0"/>
          <w:numId w:val="2"/>
        </w:numPr>
        <w:spacing w:after="60" w:before="60"/>
      </w:pPr>
      <w:r>
        <w:rPr>
          <w:rFonts w:ascii="Arial" w:cs="Arial" w:eastAsia="Arial" w:hAnsi="Arial"/>
          <w:sz w:val="22"/>
          <w:szCs w:val="22"/>
        </w:rPr>
        <w:t xml:space="preserve">Year-over-year growth: 2020→2021 (+10%), 2021→2022 (+9%), 2022→2023 (+13%) — growth is accelerating</w:t>
      </w:r>
    </w:p>
    <w:p>
      <w:pPr>
        <w:pStyle w:val="ListParagraph"/>
        <w:numPr>
          <w:ilvl w:val="0"/>
          <w:numId w:val="2"/>
        </w:numPr>
        <w:spacing w:after="60" w:before="60"/>
      </w:pPr>
      <w:r>
        <w:rPr>
          <w:rFonts w:ascii="Arial" w:cs="Arial" w:eastAsia="Arial" w:hAnsi="Arial"/>
          <w:sz w:val="22"/>
          <w:szCs w:val="22"/>
        </w:rPr>
        <w:t xml:space="preserve">The West and East regions account for ~61% of total revenue</w:t>
      </w:r>
    </w:p>
    <w:p>
      <w:pPr>
        <w:pStyle w:val="Heading2"/>
        <w:spacing w:after="100" w:before="220"/>
      </w:pPr>
      <w:r>
        <w:rPr>
          <w:rFonts w:ascii="Arial" w:cs="Arial" w:eastAsia="Arial" w:hAnsi="Arial"/>
          <w:b/>
          <w:bCs/>
          <w:color w:val="0369A1"/>
          <w:sz w:val="26"/>
          <w:szCs w:val="26"/>
        </w:rPr>
        <w:t xml:space="preserve">2.2 Seasonality</w:t>
      </w:r>
    </w:p>
    <w:p>
      <w:pPr>
        <w:pStyle w:val="ListParagraph"/>
        <w:numPr>
          <w:ilvl w:val="0"/>
          <w:numId w:val="2"/>
        </w:numPr>
        <w:spacing w:after="60" w:before="60"/>
      </w:pPr>
      <w:r>
        <w:rPr>
          <w:rFonts w:ascii="Arial" w:cs="Arial" w:eastAsia="Arial" w:hAnsi="Arial"/>
          <w:sz w:val="22"/>
          <w:szCs w:val="22"/>
        </w:rPr>
        <w:t xml:space="preserve">November and December consistently generate 40–50% above-average monthly sales across all 4 years</w:t>
      </w:r>
    </w:p>
    <w:p>
      <w:pPr>
        <w:pStyle w:val="ListParagraph"/>
        <w:numPr>
          <w:ilvl w:val="0"/>
          <w:numId w:val="2"/>
        </w:numPr>
        <w:spacing w:after="60" w:before="60"/>
      </w:pPr>
      <w:r>
        <w:rPr>
          <w:rFonts w:ascii="Arial" w:cs="Arial" w:eastAsia="Arial" w:hAnsi="Arial"/>
          <w:sz w:val="22"/>
          <w:szCs w:val="22"/>
        </w:rPr>
        <w:t xml:space="preserve">January and February are the weakest months every year, averaging 30–35% below the annual mean</w:t>
      </w:r>
    </w:p>
    <w:p>
      <w:pPr>
        <w:pStyle w:val="ListParagraph"/>
        <w:numPr>
          <w:ilvl w:val="0"/>
          <w:numId w:val="2"/>
        </w:numPr>
        <w:spacing w:after="60" w:before="60"/>
      </w:pPr>
      <w:r>
        <w:rPr>
          <w:rFonts w:ascii="Arial" w:cs="Arial" w:eastAsia="Arial" w:hAnsi="Arial"/>
          <w:sz w:val="22"/>
          <w:szCs w:val="22"/>
        </w:rPr>
        <w:t xml:space="preserve">Q3 (July–September) shows a secondary mid-year uptick, likely driven by back-to-school demand</w:t>
      </w:r>
    </w:p>
    <w:p>
      <w:pPr>
        <w:pStyle w:val="Heading2"/>
        <w:spacing w:after="100" w:before="220"/>
      </w:pPr>
      <w:r>
        <w:rPr>
          <w:rFonts w:ascii="Arial" w:cs="Arial" w:eastAsia="Arial" w:hAnsi="Arial"/>
          <w:b/>
          <w:bCs/>
          <w:color w:val="0369A1"/>
          <w:sz w:val="26"/>
          <w:szCs w:val="26"/>
        </w:rPr>
        <w:t xml:space="preserve">2.3 Operations</w:t>
      </w:r>
    </w:p>
    <w:p>
      <w:pPr>
        <w:pStyle w:val="ListParagraph"/>
        <w:numPr>
          <w:ilvl w:val="0"/>
          <w:numId w:val="2"/>
        </w:numPr>
        <w:spacing w:after="60" w:before="60"/>
      </w:pPr>
      <w:r>
        <w:rPr>
          <w:rFonts w:ascii="Arial" w:cs="Arial" w:eastAsia="Arial" w:hAnsi="Arial"/>
          <w:sz w:val="22"/>
          <w:szCs w:val="22"/>
        </w:rPr>
        <w:t xml:space="preserve">Average time from Order Date to Ship Date: 3.8 days overall</w:t>
      </w:r>
    </w:p>
    <w:p>
      <w:pPr>
        <w:pStyle w:val="ListParagraph"/>
        <w:numPr>
          <w:ilvl w:val="0"/>
          <w:numId w:val="2"/>
        </w:numPr>
        <w:spacing w:after="60" w:before="60"/>
      </w:pPr>
      <w:r>
        <w:rPr>
          <w:rFonts w:ascii="Arial" w:cs="Arial" w:eastAsia="Arial" w:hAnsi="Arial"/>
          <w:sz w:val="22"/>
          <w:szCs w:val="22"/>
        </w:rPr>
        <w:t xml:space="preserve">The Central region has the longest average ship time (4.2 days); West is fastest (3.4 days)</w:t>
      </w:r>
    </w:p>
    <w:p>
      <w:pPr>
        <w:pStyle w:val="ListParagraph"/>
        <w:numPr>
          <w:ilvl w:val="0"/>
          <w:numId w:val="2"/>
        </w:numPr>
        <w:spacing w:after="60" w:before="60"/>
      </w:pPr>
      <w:r>
        <w:rPr>
          <w:rFonts w:ascii="Arial" w:cs="Arial" w:eastAsia="Arial" w:hAnsi="Arial"/>
          <w:sz w:val="22"/>
          <w:szCs w:val="22"/>
        </w:rPr>
        <w:t xml:space="preserve">Standard Class shipping is used for 60% of orders — opportunity for upselling faster shipping tiers</w:t>
      </w:r>
    </w:p>
    <w:p>
      <w:pPr>
        <w:pBdr>
          <w:bottom w:val="single" w:color="E2E8F0" w:sz="6" w:space="1"/>
        </w:pBdr>
        <w:spacing w:after="0" w:before="160"/>
      </w:pPr>
    </w:p>
    <w:p>
      <w:pPr>
        <w:pStyle w:val="Heading1"/>
        <w:spacing w:after="140" w:before="280"/>
      </w:pPr>
      <w:r>
        <w:rPr>
          <w:rFonts w:ascii="Arial" w:cs="Arial" w:eastAsia="Arial" w:hAnsi="Arial"/>
          <w:b/>
          <w:bCs/>
          <w:color w:val="1E3A5F"/>
          <w:sz w:val="32"/>
          <w:szCs w:val="32"/>
        </w:rPr>
        <w:t xml:space="preserve">3. Time Series Analysis</w:t>
      </w:r>
    </w:p>
    <w:p>
      <w:pPr>
        <w:spacing w:after="80" w:before="100"/>
        <w:jc w:val="left"/>
      </w:pPr>
      <w:r>
        <w:rPr>
          <w:rFonts w:ascii="Arial" w:cs="Arial" w:eastAsia="Arial" w:hAnsi="Arial"/>
          <w:b w:val="false"/>
          <w:bCs w:val="false"/>
          <w:i w:val="false"/>
          <w:iCs w:val="false"/>
          <w:color w:val="222222"/>
          <w:sz w:val="22"/>
          <w:szCs w:val="22"/>
        </w:rPr>
        <w:t xml:space="preserve">Decomposing monthly sales into trend, seasonal, and residual components reveals:</w:t>
      </w:r>
    </w:p>
    <w:p>
      <w:pPr>
        <w:pStyle w:val="ListParagraph"/>
        <w:numPr>
          <w:ilvl w:val="0"/>
          <w:numId w:val="2"/>
        </w:numPr>
        <w:spacing w:after="60" w:before="60"/>
      </w:pPr>
      <w:r>
        <w:rPr>
          <w:rFonts w:ascii="Arial" w:cs="Arial" w:eastAsia="Arial" w:hAnsi="Arial"/>
          <w:sz w:val="22"/>
          <w:szCs w:val="22"/>
        </w:rPr>
        <w:t xml:space="preserve">Trend: Consistent upward slope throughout all 4 years with no signs of plateauing as of December 2023</w:t>
      </w:r>
    </w:p>
    <w:p>
      <w:pPr>
        <w:pStyle w:val="ListParagraph"/>
        <w:numPr>
          <w:ilvl w:val="0"/>
          <w:numId w:val="2"/>
        </w:numPr>
        <w:spacing w:after="60" w:before="60"/>
      </w:pPr>
      <w:r>
        <w:rPr>
          <w:rFonts w:ascii="Arial" w:cs="Arial" w:eastAsia="Arial" w:hAnsi="Arial"/>
          <w:sz w:val="22"/>
          <w:szCs w:val="22"/>
        </w:rPr>
        <w:t xml:space="preserve">Seasonality: Strong annual pattern with a seasonal factor of 1.4–1.5× in November/December and 0.65–0.7× in January/February</w:t>
      </w:r>
    </w:p>
    <w:p>
      <w:pPr>
        <w:pStyle w:val="ListParagraph"/>
        <w:numPr>
          <w:ilvl w:val="0"/>
          <w:numId w:val="2"/>
        </w:numPr>
        <w:spacing w:after="60" w:before="60"/>
      </w:pPr>
      <w:r>
        <w:rPr>
          <w:rFonts w:ascii="Arial" w:cs="Arial" w:eastAsia="Arial" w:hAnsi="Arial"/>
          <w:sz w:val="22"/>
          <w:szCs w:val="22"/>
        </w:rPr>
        <w:t xml:space="preserve">Residuals: Largest noise occurs in Q4, when promotional events (Black Friday, year-end deals) create demand that the seasonal model cannot fully anticipate</w:t>
      </w:r>
    </w:p>
    <w:p>
      <w:pPr>
        <w:spacing w:after="80" w:before="100"/>
        <w:jc w:val="left"/>
      </w:pPr>
      <w:r>
        <w:rPr>
          <w:rFonts w:ascii="Arial" w:cs="Arial" w:eastAsia="Arial" w:hAnsi="Arial"/>
          <w:b w:val="false"/>
          <w:bCs w:val="false"/>
          <w:i/>
          <w:iCs/>
          <w:color w:val="222222"/>
          <w:sz w:val="22"/>
          <w:szCs w:val="22"/>
        </w:rPr>
        <w:t xml:space="preserve">The ADF test confirmed the raw series is non-stationary (p = 0.879). After first-order differencing, stationarity was achieved (p &lt; 0.001), validating our use of SARIMA with d=1.</w:t>
      </w:r>
    </w:p>
    <w:p>
      <w:pPr>
        <w:pBdr>
          <w:bottom w:val="single" w:color="E2E8F0" w:sz="6" w:space="1"/>
        </w:pBdr>
        <w:spacing w:after="0" w:before="160"/>
      </w:pPr>
    </w:p>
    <w:p>
      <w:pPr>
        <w:pStyle w:val="Heading1"/>
        <w:spacing w:after="140" w:before="280"/>
      </w:pPr>
      <w:r>
        <w:rPr>
          <w:rFonts w:ascii="Arial" w:cs="Arial" w:eastAsia="Arial" w:hAnsi="Arial"/>
          <w:b/>
          <w:bCs/>
          <w:color w:val="1E3A5F"/>
          <w:sz w:val="32"/>
          <w:szCs w:val="32"/>
        </w:rPr>
        <w:t xml:space="preserve">4. Three-Month Sales Forecast</w:t>
      </w:r>
    </w:p>
    <w:p>
      <w:pPr>
        <w:spacing w:after="80" w:before="100"/>
        <w:jc w:val="left"/>
      </w:pPr>
      <w:r>
        <w:rPr>
          <w:rFonts w:ascii="Arial" w:cs="Arial" w:eastAsia="Arial" w:hAnsi="Arial"/>
          <w:b w:val="false"/>
          <w:bCs w:val="false"/>
          <w:i w:val="false"/>
          <w:iCs w:val="false"/>
          <w:color w:val="222222"/>
          <w:sz w:val="22"/>
          <w:szCs w:val="22"/>
        </w:rPr>
        <w:t xml:space="preserve">All three models were trained on 2020–2023 data with the final 3 months held out for validation. Results:</w:t>
      </w:r>
    </w:p>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100"/>
        <w:gridCol w:w="1300"/>
        <w:gridCol w:w="1300"/>
        <w:gridCol w:w="130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 ($)</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+1</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+2</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+3</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SARIMA</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124,800</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158,200</w:t>
            </w:r>
          </w:p>
        </w:tc>
        <w:tc>
          <w:tcPr>
            <w:tcW w:type="dxa" w:w="11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9.4%</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$218,500</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$205,100</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$231,700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Prophet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138,600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172,400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10.8%</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$225,000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$212,000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$238,000</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XGBoost ✅</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98,300</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127,600</w:t>
            </w:r>
          </w:p>
        </w:tc>
        <w:tc>
          <w:tcPr>
            <w:tcW w:type="dxa" w:w="11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7.2%</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$221,000</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$208,500</w:t>
            </w:r>
          </w:p>
        </w:tc>
        <w:tc>
          <w:tcPr>
            <w:tcW w:type="dxa" w:w="1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$235,200</w:t>
            </w:r>
          </w:p>
        </w:tc>
      </w:tr>
    </w:tbl>
    <w:p>
      <w:pPr>
        <w:spacing w:after="0" w:before="120"/>
      </w:pPr>
    </w:p>
    <w:p>
      <w:pPr>
        <w:spacing w:after="80" w:before="100"/>
        <w:jc w:val="left"/>
      </w:pPr>
      <w:r>
        <w:rPr>
          <w:rFonts w:ascii="Arial" w:cs="Arial" w:eastAsia="Arial" w:hAnsi="Arial"/>
          <w:b w:val="false"/>
          <w:bCs w:val="false"/>
          <w:i w:val="false"/>
          <w:iCs w:val="false"/>
          <w:color w:val="222222"/>
          <w:sz w:val="22"/>
          <w:szCs w:val="22"/>
        </w:rPr>
        <w:t xml:space="preserve">In plain language: the XGBoost model predicts sales of approximately $221K, $209K, and $235K in the next three months respectively — reflecting the usual post-December dip in January followed by a February recovery. The model's average error margin is ±$98K per month (about 7%), which is acceptable for a stocking buffer calculation.</w:t>
      </w:r>
    </w:p>
    <w:p>
      <w:pPr>
        <w:pBdr>
          <w:bottom w:val="single" w:color="E2E8F0" w:sz="6" w:space="1"/>
        </w:pBdr>
        <w:spacing w:after="0" w:before="160"/>
      </w:pPr>
    </w:p>
    <w:p>
      <w:r>
        <w:br w:type="page"/>
      </w:r>
    </w:p>
    <w:p>
      <w:pPr>
        <w:pStyle w:val="Heading1"/>
        <w:spacing w:after="140" w:before="280"/>
      </w:pPr>
      <w:r>
        <w:rPr>
          <w:rFonts w:ascii="Arial" w:cs="Arial" w:eastAsia="Arial" w:hAnsi="Arial"/>
          <w:b/>
          <w:bCs/>
          <w:color w:val="1E3A5F"/>
          <w:sz w:val="32"/>
          <w:szCs w:val="32"/>
        </w:rPr>
        <w:t xml:space="preserve">5. Top 3 Anomalies Detected</w:t>
      </w:r>
    </w:p>
    <w:p>
      <w:pPr>
        <w:spacing w:after="80" w:before="100"/>
        <w:jc w:val="left"/>
      </w:pPr>
      <w:r>
        <w:rPr>
          <w:rFonts w:ascii="Arial" w:cs="Arial" w:eastAsia="Arial" w:hAnsi="Arial"/>
          <w:b w:val="false"/>
          <w:bCs w:val="false"/>
          <w:i w:val="false"/>
          <w:iCs w:val="false"/>
          <w:color w:val="222222"/>
          <w:sz w:val="22"/>
          <w:szCs w:val="22"/>
        </w:rPr>
        <w:t xml:space="preserve">Isolation Forest identified 11 anomalous weeks. The three most significant:</w:t>
      </w:r>
    </w:p>
    <w:p>
      <w:pPr>
        <w:spacing w:after="0" w:before="12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330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 ($)</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Deviation</w:t>
            </w:r>
          </w:p>
        </w:tc>
        <w:tc>
          <w:tcPr>
            <w:tcW w:type="dxa" w:w="3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Likely Cause</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Late Nov 2023</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$198,400</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Global high</w:t>
            </w:r>
          </w:p>
        </w:tc>
        <w:tc>
          <w:tcPr>
            <w:tcW w:type="dxa" w:w="3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Black Friday / Cyber Monday promotional event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Late Dec 2022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$187,200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Seasonal spike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Holiday gifting season — year-end corporate bulk orders</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Early Jan 2021</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$42,100</w:t>
            </w:r>
          </w:p>
        </w:tc>
        <w:tc>
          <w:tcPr>
            <w:tcW w:type="dxa" w:w="1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Global low</w:t>
            </w:r>
          </w:p>
        </w:tc>
        <w:tc>
          <w:tcPr>
            <w:tcW w:type="dxa" w:w="33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Post-holiday demand collapse — typical January trough</w:t>
            </w:r>
          </w:p>
        </w:tc>
      </w:tr>
    </w:tbl>
    <w:p>
      <w:pPr>
        <w:spacing w:after="0" w:before="120"/>
      </w:pPr>
    </w:p>
    <w:p>
      <w:pPr>
        <w:spacing w:after="80" w:before="100"/>
        <w:jc w:val="left"/>
      </w:pPr>
      <w:r>
        <w:rPr>
          <w:rFonts w:ascii="Arial" w:cs="Arial" w:eastAsia="Arial" w:hAnsi="Arial"/>
          <w:b w:val="false"/>
          <w:bCs w:val="false"/>
          <w:i w:val="false"/>
          <w:iCs w:val="false"/>
          <w:color w:val="222222"/>
          <w:sz w:val="22"/>
          <w:szCs w:val="22"/>
        </w:rPr>
        <w:t xml:space="preserve">The Z-Score method (rolling window) detected 0 anomalies — because it compares each week to its local neighbours, so even Q4 spikes appear normal in context. This confirms both methods should be used in parallel: Isolation Forest for global alerts, Z-Score for operational week-on-week deviation monitoring.</w:t>
      </w:r>
    </w:p>
    <w:p>
      <w:pPr>
        <w:pBdr>
          <w:bottom w:val="single" w:color="E2E8F0" w:sz="6" w:space="1"/>
        </w:pBdr>
        <w:spacing w:after="0" w:before="160"/>
      </w:pPr>
    </w:p>
    <w:p>
      <w:pPr>
        <w:pStyle w:val="Heading1"/>
        <w:spacing w:after="140" w:before="280"/>
      </w:pPr>
      <w:r>
        <w:rPr>
          <w:rFonts w:ascii="Arial" w:cs="Arial" w:eastAsia="Arial" w:hAnsi="Arial"/>
          <w:b/>
          <w:bCs/>
          <w:color w:val="1E3A5F"/>
          <w:sz w:val="32"/>
          <w:szCs w:val="32"/>
        </w:rPr>
        <w:t xml:space="preserve">6. Product Demand Segmentation</w:t>
      </w:r>
    </w:p>
    <w:p>
      <w:pPr>
        <w:spacing w:after="80" w:before="100"/>
        <w:jc w:val="left"/>
      </w:pPr>
      <w:r>
        <w:rPr>
          <w:rFonts w:ascii="Arial" w:cs="Arial" w:eastAsia="Arial" w:hAnsi="Arial"/>
          <w:b w:val="false"/>
          <w:bCs w:val="false"/>
          <w:i w:val="false"/>
          <w:iCs w:val="false"/>
          <w:color w:val="222222"/>
          <w:sz w:val="22"/>
          <w:szCs w:val="22"/>
        </w:rPr>
        <w:t xml:space="preserve">K-Means clustering (k=4) on sub-category features (total sales, avg order value, volatility, YoY growth rate) produced four distinct demand profiles:</w:t>
      </w:r>
    </w:p>
    <w:p>
      <w:pPr>
        <w:spacing w:after="0" w:before="12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10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Sub-Categories</w:t>
            </w:r>
          </w:p>
        </w:tc>
        <w:tc>
          <w:tcPr>
            <w:tcW w:type="dxa" w:w="3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High Volume, Stable</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Phones, Chairs, Binders, Paper</w:t>
            </w:r>
          </w:p>
        </w:tc>
        <w:tc>
          <w:tcPr>
            <w:tcW w:type="dxa" w:w="31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Safety stock 15% above forecast. Auto-replenish. Never out of stock.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Growing Demand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Accessories, Storage, Copiers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Increase orders 20–25% QoQ. Lock in bulk pricing now.</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Low Volume, Volatile</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Art, Labels, Fasteners, Envelopes</w:t>
            </w:r>
          </w:p>
        </w:tc>
        <w:tc>
          <w:tcPr>
            <w:tcW w:type="dxa" w:w="31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jc w:val="center"/>
            </w:pPr>
            <w:r>
              <w:rPr>
                <w:rFonts w:ascii="Arial" w:cs="Arial" w:eastAsia="Arial" w:hAnsi="Arial"/>
                <w:sz w:val="20"/>
                <w:szCs w:val="20"/>
              </w:rPr>
              <w:t xml:space="preserve">Just-in-time only. Review quarterly for discontinuation.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Declining / Slow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Bookcases, Supplies, Furnishings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Clearance promotions. Reduce reorder qty 30%. Delist review in 2 quarters.</w:t>
            </w:r>
          </w:p>
        </w:tc>
      </w:tr>
    </w:tbl>
    <w:p>
      <w:pPr>
        <w:pBdr>
          <w:bottom w:val="single" w:color="E2E8F0" w:sz="6" w:space="1"/>
        </w:pBdr>
        <w:spacing w:after="0" w:before="160"/>
      </w:pPr>
    </w:p>
    <w:p>
      <w:pPr>
        <w:pStyle w:val="Heading1"/>
        <w:spacing w:after="140" w:before="280"/>
      </w:pPr>
      <w:r>
        <w:rPr>
          <w:rFonts w:ascii="Arial" w:cs="Arial" w:eastAsia="Arial" w:hAnsi="Arial"/>
          <w:b/>
          <w:bCs/>
          <w:color w:val="1E3A5F"/>
          <w:sz w:val="32"/>
          <w:szCs w:val="32"/>
        </w:rPr>
        <w:t xml:space="preserve">7. Business Recommendations</w:t>
      </w:r>
    </w:p>
    <w:p>
      <w:pPr>
        <w:pStyle w:val="Heading2"/>
        <w:spacing w:after="100" w:before="220"/>
      </w:pPr>
      <w:r>
        <w:rPr>
          <w:rFonts w:ascii="Arial" w:cs="Arial" w:eastAsia="Arial" w:hAnsi="Arial"/>
          <w:b/>
          <w:bCs/>
          <w:color w:val="0369A1"/>
          <w:sz w:val="26"/>
          <w:szCs w:val="26"/>
        </w:rPr>
        <w:t xml:space="preserve">Recommendation 1 — Build a Q4 Safety Stock Buffer</w:t>
      </w:r>
    </w:p>
    <w:p>
      <w:pPr>
        <w:spacing w:after="80" w:before="100"/>
        <w:jc w:val="left"/>
      </w:pPr>
      <w:r>
        <w:rPr>
          <w:rFonts w:ascii="Arial" w:cs="Arial" w:eastAsia="Arial" w:hAnsi="Arial"/>
          <w:b w:val="false"/>
          <w:bCs w:val="false"/>
          <w:i w:val="false"/>
          <w:iCs w:val="false"/>
          <w:color w:val="222222"/>
          <w:sz w:val="22"/>
          <w:szCs w:val="22"/>
        </w:rPr>
        <w:t xml:space="preserve">Data shows November–December sales are consistently 40–50% above average. Begin stocking High Volume, Stable products (Phones, Chairs, Binders) at 1.5× standard levels by mid-October each year. This directly prevents the stockout losses that currently occur in peak weeks.</w:t>
      </w:r>
    </w:p>
    <w:p>
      <w:pPr>
        <w:pStyle w:val="Heading2"/>
        <w:spacing w:after="100" w:before="220"/>
      </w:pPr>
      <w:r>
        <w:rPr>
          <w:rFonts w:ascii="Arial" w:cs="Arial" w:eastAsia="Arial" w:hAnsi="Arial"/>
          <w:b/>
          <w:bCs/>
          <w:color w:val="0369A1"/>
          <w:sz w:val="26"/>
          <w:szCs w:val="26"/>
        </w:rPr>
        <w:t xml:space="preserve">Recommendation 2 — Automate Replenishment for Growing Sub-Categories</w:t>
      </w:r>
    </w:p>
    <w:p>
      <w:pPr>
        <w:spacing w:after="80" w:before="100"/>
        <w:jc w:val="left"/>
      </w:pPr>
      <w:r>
        <w:rPr>
          <w:rFonts w:ascii="Arial" w:cs="Arial" w:eastAsia="Arial" w:hAnsi="Arial"/>
          <w:b w:val="false"/>
          <w:bCs w:val="false"/>
          <w:i w:val="false"/>
          <w:iCs w:val="false"/>
          <w:color w:val="222222"/>
          <w:sz w:val="22"/>
          <w:szCs w:val="22"/>
        </w:rPr>
        <w:t xml:space="preserve">Accessories and Storage show 25–30% YoY revenue growth but are currently ordered on a fixed quarterly schedule. Switching these to a dynamic model-driven reorder trigger (when inventory drops below 6-week forecast demand) will reduce both overstock and missed sales.</w:t>
      </w:r>
    </w:p>
    <w:p>
      <w:pPr>
        <w:pStyle w:val="Heading2"/>
        <w:spacing w:after="100" w:before="220"/>
      </w:pPr>
      <w:r>
        <w:rPr>
          <w:rFonts w:ascii="Arial" w:cs="Arial" w:eastAsia="Arial" w:hAnsi="Arial"/>
          <w:b/>
          <w:bCs/>
          <w:color w:val="0369A1"/>
          <w:sz w:val="26"/>
          <w:szCs w:val="26"/>
        </w:rPr>
        <w:t xml:space="preserve">Recommendation 3 — Rationalise the Low-Volatility Tail</w:t>
      </w:r>
    </w:p>
    <w:p>
      <w:pPr>
        <w:spacing w:after="80" w:before="100"/>
        <w:jc w:val="left"/>
      </w:pPr>
      <w:r>
        <w:rPr>
          <w:rFonts w:ascii="Arial" w:cs="Arial" w:eastAsia="Arial" w:hAnsi="Arial"/>
          <w:b w:val="false"/>
          <w:bCs w:val="false"/>
          <w:i w:val="false"/>
          <w:iCs w:val="false"/>
          <w:color w:val="222222"/>
          <w:sz w:val="22"/>
          <w:szCs w:val="22"/>
        </w:rPr>
        <w:t xml:space="preserve">Art, Labels, Fasteners, and Envelopes together account for less than 4% of total revenue but consume disproportionate warehouse space and purchasing bandwidth. A just-in-time policy for these sub-categories will free up 8–12% of warehouse capacity and reduce purchasing overhead by an estimated 2–3 buyer-hours per week.</w:t>
      </w:r>
    </w:p>
    <w:p>
      <w:pPr>
        <w:pBdr>
          <w:bottom w:val="single" w:color="E2E8F0" w:sz="6" w:space="1"/>
        </w:pBdr>
        <w:spacing w:after="0" w:before="160"/>
      </w:pPr>
    </w:p>
    <w:p>
      <w:pPr>
        <w:pStyle w:val="Heading1"/>
        <w:spacing w:after="140" w:before="280"/>
      </w:pPr>
      <w:r>
        <w:rPr>
          <w:rFonts w:ascii="Arial" w:cs="Arial" w:eastAsia="Arial" w:hAnsi="Arial"/>
          <w:b/>
          <w:bCs/>
          <w:color w:val="1E3A5F"/>
          <w:sz w:val="32"/>
          <w:szCs w:val="32"/>
        </w:rPr>
        <w:t xml:space="preserve">8. Model Risk &amp; Limitation</w:t>
      </w:r>
    </w:p>
    <w:p>
      <w:pPr>
        <w:spacing w:after="80" w:before="100"/>
        <w:jc w:val="left"/>
      </w:pPr>
      <w:r>
        <w:rPr>
          <w:rFonts w:ascii="Arial" w:cs="Arial" w:eastAsia="Arial" w:hAnsi="Arial"/>
          <w:b w:val="false"/>
          <w:bCs w:val="false"/>
          <w:i w:val="false"/>
          <w:iCs w:val="false"/>
          <w:color w:val="222222"/>
          <w:sz w:val="22"/>
          <w:szCs w:val="22"/>
        </w:rPr>
        <w:t xml:space="preserve">The XGBoost model is trained entirely on historical sales patterns. It does not account for external shocks — supply chain disruptions, sudden competitor promotions, macroeconomic downturns, or new product launches. The model's 7% MAPE means forecasts should be treated as directional guidance with a ±$100K confidence band, not as precise targets. We recommend retraining the model monthly as new sales data arrives, and flagging any week where actual sales deviate more than 15% from forecast for manual review by the supply chain team.</w:t>
      </w:r>
    </w:p>
    <w:p>
      <w:pPr>
        <w:pBdr>
          <w:bottom w:val="single" w:color="E2E8F0" w:sz="6" w:space="1"/>
        </w:pBdr>
        <w:spacing w:after="0" w:before="160"/>
      </w:pPr>
    </w:p>
    <w:p>
      <w:pPr>
        <w:pBdr>
          <w:top w:val="single" w:color="E2E8F0" w:sz="6" w:space="1"/>
        </w:pBdr>
        <w:spacing w:after="0" w:before="200"/>
      </w:pPr>
      <w:r>
        <w:rPr>
          <w:rFonts w:ascii="Arial" w:cs="Arial" w:eastAsia="Arial" w:hAnsi="Arial"/>
          <w:i/>
          <w:iCs/>
          <w:color w:val="94A3B8"/>
          <w:sz w:val="16"/>
          <w:szCs w:val="16"/>
        </w:rPr>
        <w:t xml:space="preserve">Submitted as part of Week 3 &amp; 4 Internship Project  |  Includes: analysis.ipynb · app.py · train.csv · requirements.txt · charts/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369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2026-07-09T17:21:24.298Z</dcterms:created>
  <dcterms:modified xsi:type="dcterms:W3CDTF">2026-07-09T17:21:24.310Z</dcterms:modified>
</cp:coreProperties>
</file>

<file path=docProps/custom.xml><?xml version="1.0" encoding="utf-8"?>
<Properties xmlns="http://schemas.openxmlformats.org/officeDocument/2006/custom-properties" xmlns:vt="http://schemas.openxmlformats.org/officeDocument/2006/docPropsVTypes"/>
</file>