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Technology and Management (ITM) Market Alignment Report</w:t>
      </w:r>
    </w:p>
    <w:p>
      <w:r>
        <w:rPr>
          <w:b/>
          <w:color w:val="17365D"/>
          <w:sz w:val="26"/>
        </w:rPr>
        <w:t>Job-title demand, explicit skills, sources, and curriculum-readiness framework</w:t>
      </w:r>
    </w:p>
    <w:p>
      <w:r>
        <w:rPr>
          <w:color w:val="6B7280"/>
          <w:sz w:val="18"/>
        </w:rPr>
        <w:t>Prepared for SyllabusCheck  |  29 September 2026  |  Live public-feed sample</w:t>
      </w:r>
    </w:p>
    <w:p>
      <w:pPr>
        <w:pStyle w:val="Heading1"/>
      </w:pPr>
      <w:r>
        <w:t>Executive Summary</w:t>
      </w:r>
    </w:p>
    <w:p>
      <w:r>
        <w:t>This degree-specific report analyzes 29 qualifying Information Technology and Management (ITM) job descriptions from 3 active public feeds. The sample represents 28 distinct job titles across 5 role families. Skills are counted only when explicitly present in a job description.</w:t>
      </w:r>
    </w:p>
    <w:p>
      <w:r>
        <w:t>The evidence is suitable for identifying current role and skill signals in the collected sample. It does not predict hiring outcomes. Curriculum coverage remains not assessed until the applicable syllabi are uploaded and reviewed.</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29</w:t>
            </w:r>
          </w:p>
          <w:p>
            <w:pPr>
              <w:jc w:val="center"/>
            </w:pPr>
            <w:r>
              <w:rPr>
                <w:sz w:val="16"/>
              </w:rPr>
              <w:t>Qualified jobs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28</w:t>
            </w:r>
          </w:p>
          <w:p>
            <w:pPr>
              <w:jc w:val="center"/>
            </w:pPr>
            <w:r>
              <w:rPr>
                <w:sz w:val="16"/>
              </w:rPr>
              <w:t>Distinct titles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5</w:t>
            </w:r>
          </w:p>
          <w:p>
            <w:pPr>
              <w:jc w:val="center"/>
            </w:pPr>
            <w:r>
              <w:rPr>
                <w:sz w:val="16"/>
              </w:rPr>
              <w:t>Role families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3</w:t>
            </w:r>
          </w:p>
          <w:p>
            <w:pPr>
              <w:jc w:val="center"/>
            </w:pPr>
            <w:r>
              <w:rPr>
                <w:sz w:val="16"/>
              </w:rPr>
              <w:t>Active sources</w:t>
            </w:r>
          </w:p>
        </w:tc>
      </w:tr>
    </w:tbl>
    <w:p>
      <w:pPr>
        <w:pStyle w:val="Heading1"/>
      </w:pPr>
      <w:r>
        <w:t>Job Families</w:t>
      </w:r>
    </w:p>
    <w:tbl>
      <w:tblPr>
        <w:tblW w:type="auto" w:w="0"/>
        <w:jc w:val="center"/>
        <w:tblLayout w:type="fixed"/>
        <w:tblLook w:firstColumn="1" w:firstRow="1" w:lastColumn="0" w:lastRow="0" w:noHBand="0" w:noVBand="1" w:val="04A0"/>
      </w:tblPr>
      <w:tblGrid>
        <w:gridCol w:w="3331"/>
        <w:gridCol w:w="3331"/>
        <w:gridCol w:w="3331"/>
      </w:tblGrid>
      <w:tr>
        <w:tc>
          <w:tcPr>
            <w:tcW w:type="dxa" w:w="612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Role family</w:t>
            </w:r>
          </w:p>
        </w:tc>
        <w:tc>
          <w:tcPr>
            <w:tcW w:type="dxa" w:w="144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180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Share</w:t>
            </w:r>
          </w:p>
        </w:tc>
      </w:tr>
      <w:tr>
        <w:tc>
          <w:tcPr>
            <w:tcW w:type="dxa" w:w="612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 / Solutions Architecture</w:t>
            </w:r>
          </w:p>
        </w:tc>
        <w:tc>
          <w:tcPr>
            <w:tcW w:type="dxa" w:w="144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w:t>
            </w:r>
          </w:p>
        </w:tc>
        <w:tc>
          <w:tcPr>
            <w:tcW w:type="dxa" w:w="180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34.5%</w:t>
            </w:r>
          </w:p>
        </w:tc>
      </w:tr>
      <w:tr>
        <w:tc>
          <w:tcPr>
            <w:tcW w:type="dxa" w:w="612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Technology Consultant</w:t>
            </w:r>
          </w:p>
        </w:tc>
        <w:tc>
          <w:tcPr>
            <w:tcW w:type="dxa" w:w="144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9</w:t>
            </w:r>
          </w:p>
        </w:tc>
        <w:tc>
          <w:tcPr>
            <w:tcW w:type="dxa" w:w="180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31.0%</w:t>
            </w:r>
          </w:p>
        </w:tc>
      </w:tr>
      <w:tr>
        <w:tc>
          <w:tcPr>
            <w:tcW w:type="dxa" w:w="612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IT Project / Program Manager</w:t>
            </w:r>
          </w:p>
        </w:tc>
        <w:tc>
          <w:tcPr>
            <w:tcW w:type="dxa" w:w="144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180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24.1%</w:t>
            </w:r>
          </w:p>
        </w:tc>
      </w:tr>
      <w:tr>
        <w:tc>
          <w:tcPr>
            <w:tcW w:type="dxa" w:w="612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ERP / Enterprise Systems</w:t>
            </w:r>
          </w:p>
        </w:tc>
        <w:tc>
          <w:tcPr>
            <w:tcW w:type="dxa" w:w="144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180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6.9%</w:t>
            </w:r>
          </w:p>
        </w:tc>
      </w:tr>
      <w:tr>
        <w:tc>
          <w:tcPr>
            <w:tcW w:type="dxa" w:w="612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Cybersecurity / IT Risk</w:t>
            </w:r>
          </w:p>
        </w:tc>
        <w:tc>
          <w:tcPr>
            <w:tcW w:type="dxa" w:w="144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180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3.4%</w:t>
            </w:r>
          </w:p>
        </w:tc>
      </w:tr>
    </w:tbl>
    <w:p>
      <w:pPr>
        <w:spacing w:after="0"/>
      </w:pPr>
    </w:p>
    <w:p>
      <w:r>
        <w:br w:type="page"/>
      </w:r>
    </w:p>
    <w:p>
      <w:pPr>
        <w:pStyle w:val="Heading1"/>
      </w:pPr>
      <w:r>
        <w:t>Job Titles Represented</w:t>
      </w:r>
    </w:p>
    <w:tbl>
      <w:tblPr>
        <w:tblW w:type="auto" w:w="0"/>
        <w:jc w:val="center"/>
        <w:tblLayout w:type="fixed"/>
        <w:tblLook w:firstColumn="1" w:firstRow="1" w:lastColumn="0" w:lastRow="0" w:noHBand="0" w:noVBand="1" w:val="04A0"/>
      </w:tblPr>
      <w:tblGrid>
        <w:gridCol w:w="4997"/>
        <w:gridCol w:w="4997"/>
      </w:tblGrid>
      <w:tr>
        <w:tc>
          <w:tcPr>
            <w:tcW w:type="dxa" w:w="770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 title</w:t>
            </w:r>
          </w:p>
        </w:tc>
        <w:tc>
          <w:tcPr>
            <w:tcW w:type="dxa" w:w="165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Listings</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AI Engineer / Technical Consultant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Solutions Architect, Managed Service Providers</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Solutions Architect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SAP Consultant EWM (m/w/d)</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Cybersecurity Analyst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IT Project Manager</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Solutions Architect - CPG and Manufacturing</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Enterprise Architect Director</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Technical Project Manager / Delivery Manager</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IT Consultant &amp; Business Analyst (w/m/d)</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Technical Program Manager</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Lead Solutions Architect - Generative AI (EMEA Emerging DNB)</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Enterprise AI Solutions Consultant (London)</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Solutions Architect</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Technical Project Manager</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SAP Consultant (m/w/d) - Real Estate Management (RE, RE-FX)</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Partner Solutions Architect - MSP</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Solutions Consultant (m/f/d) - Growth &amp; Strategy</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Technical Project Manager (all genders) - Retail and window campaigns</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Technical Program Manager (AI/ML)</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Danish Speaking Solutions Consultant Work Sofia Bulgaria</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Sr Solutions Architect</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Solutions Consultant, Identity</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 Solutions Architect</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Technical Project Manager - VPC</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Solutions Consultant, EMEA</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Key Customers Solutions Architect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Customer Solutions Consultant II</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bl>
    <w:p>
      <w:pPr>
        <w:spacing w:after="0"/>
      </w:pPr>
    </w:p>
    <w:p>
      <w:pPr>
        <w:pStyle w:val="Heading1"/>
      </w:pPr>
      <w:r>
        <w:t>Skills Found in Job Descriptions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Skill</w:t>
            </w:r>
          </w:p>
        </w:tc>
        <w:tc>
          <w:tcPr>
            <w:tcW w:type="dxa" w:w="288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Category</w:t>
            </w:r>
          </w:p>
        </w:tc>
        <w:tc>
          <w:tcPr>
            <w:tcW w:type="dxa" w:w="129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201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Demand share</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Python</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8</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27.6%</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AWS</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24.1%</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Azure</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24.1%</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Communication</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Professional Skills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24.1%</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Google Cloud</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24.1%</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Excel</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20.7%</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Project Management</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20.7%</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REST API</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Technology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20.7%</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Stakeholder Management</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Professional Skills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5</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17.2%</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 Computing</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Confluence</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Governance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Management</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Databricks</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Engineering</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Jira</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Machine Learning</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Requirements Gathering</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Analysis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Risk Management</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Analysis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Salesforce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Enterprise Systems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SAP</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Enterprise Systems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SQL</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10.3%</w:t>
            </w:r>
          </w:p>
        </w:tc>
      </w:tr>
    </w:tbl>
    <w:p>
      <w:pPr>
        <w:spacing w:after="0"/>
      </w:pPr>
    </w:p>
    <w:p>
      <w:pPr>
        <w:pStyle w:val="Heading1"/>
      </w:pPr>
      <w:r>
        <w:t>Job Sources and Attribution</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58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Source</w:t>
            </w:r>
          </w:p>
        </w:tc>
        <w:tc>
          <w:tcPr>
            <w:tcW w:type="dxa" w:w="79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324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Website</w:t>
            </w:r>
          </w:p>
        </w:tc>
        <w:tc>
          <w:tcPr>
            <w:tcW w:type="dxa" w:w="374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Public feed</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Arbeitnow</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21</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https://www.arbeitnow.com/</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https://www.arbeitnow.com/api/job-board-api</w:t>
            </w:r>
          </w:p>
        </w:tc>
      </w:tr>
      <w:tr>
        <w:tc>
          <w:tcPr>
            <w:tcW w:type="dxa" w:w="158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Remotive</w:t>
            </w:r>
          </w:p>
        </w:tc>
        <w:tc>
          <w:tcPr>
            <w:tcW w:type="dxa" w:w="792"/>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w:t>
            </w:r>
          </w:p>
        </w:tc>
        <w:tc>
          <w:tcPr>
            <w:tcW w:type="dxa" w:w="324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https://remotive.com/remote-jobs</w:t>
            </w:r>
          </w:p>
        </w:tc>
        <w:tc>
          <w:tcPr>
            <w:tcW w:type="dxa" w:w="374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https://remotive.com/api/remote-jobs</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Remote OK</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https://remoteok.com/</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https://remoteok.com/api</w:t>
            </w:r>
          </w:p>
        </w:tc>
      </w:tr>
      <w:tr>
        <w:tc>
          <w:tcPr>
            <w:tcW w:type="dxa" w:w="158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Jobicy</w:t>
            </w:r>
          </w:p>
        </w:tc>
        <w:tc>
          <w:tcPr>
            <w:tcW w:type="dxa" w:w="792"/>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w:t>
            </w:r>
          </w:p>
        </w:tc>
        <w:tc>
          <w:tcPr>
            <w:tcW w:type="dxa" w:w="324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https://jobicy.com/</w:t>
            </w:r>
          </w:p>
        </w:tc>
        <w:tc>
          <w:tcPr>
            <w:tcW w:type="dxa" w:w="374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https://jobicy.com/api/v2/remote-jobs</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Himalayas</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https://himalayas.app/jobs</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https://himalayas.app/jobs/api</w:t>
            </w:r>
          </w:p>
        </w:tc>
      </w:tr>
    </w:tbl>
    <w:p>
      <w:pPr>
        <w:spacing w:after="0"/>
      </w:pPr>
    </w:p>
    <w:p>
      <w:r>
        <w:t>Each imported listing retains its canonical source URL. Source names and links must remain visible wherever listings or derived evidence are displayed.</w:t>
      </w:r>
    </w:p>
    <w:p>
      <w:pPr>
        <w:pStyle w:val="Heading1"/>
      </w:pPr>
      <w:r>
        <w:t>Curriculum Alignment Status</w:t>
      </w:r>
    </w:p>
    <w:p>
      <w:r>
        <w:t>Status: not assessed. No authoritative degree syllabus evidence was available to score against these market skills. When syllabi are uploaded, each explicit skill will be classified as covered, partially covered, or missing and weighted by distinct job mentions.</w:t>
      </w:r>
    </w:p>
    <w:p>
      <w:pPr>
        <w:pStyle w:val="Heading2"/>
      </w:pPr>
      <w:r>
        <w:t>Recommended Next Actions</w:t>
      </w:r>
    </w:p>
    <w:p>
      <w:pPr>
        <w:pStyle w:val="ListBullet"/>
      </w:pPr>
      <w:r>
        <w:t>Upload and verify the current degree syllabi, learning outcomes, weekly topics, tools, and assessed projects.</w:t>
      </w:r>
    </w:p>
    <w:p>
      <w:pPr>
        <w:pStyle w:val="ListBullet"/>
      </w:pPr>
      <w:r>
        <w:t>Collect the same sources on a schedule so the report can show stable demand, emerging skills, and declining signals.</w:t>
      </w:r>
    </w:p>
    <w:p>
      <w:pPr>
        <w:pStyle w:val="ListBullet"/>
      </w:pPr>
      <w:r>
        <w:t>Add Dallas, Texas, and broader United States sources before using the results for local-market advising.</w:t>
      </w:r>
    </w:p>
    <w:p>
      <w:pPr>
        <w:pStyle w:val="ListBullet"/>
      </w:pPr>
      <w:r>
        <w:t>Connect each student resume claim to course, project, internship, certification, or work evidence.</w:t>
      </w:r>
    </w:p>
    <w:p>
      <w:pPr>
        <w:pStyle w:val="Heading1"/>
      </w:pPr>
      <w:r>
        <w:t>Method and Limitations</w:t>
      </w:r>
    </w:p>
    <w:tbl>
      <w:tblPr>
        <w:tblW w:type="auto" w:w="0"/>
        <w:jc w:val="center"/>
        <w:tblLayout w:type="fixed"/>
        <w:tblLook w:firstColumn="1" w:firstRow="1" w:lastColumn="0" w:lastRow="0" w:noHBand="0" w:noVBand="1" w:val="04A0"/>
      </w:tblPr>
      <w:tblGrid>
        <w:gridCol w:w="4997"/>
        <w:gridCol w:w="4997"/>
      </w:tblGrid>
      <w:tr>
        <w:tc>
          <w:tcPr>
            <w:tcW w:type="dxa" w:w="208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Area</w:t>
            </w:r>
          </w:p>
        </w:tc>
        <w:tc>
          <w:tcPr>
            <w:tcW w:type="dxa" w:w="727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Method or limitation</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Qualification</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 substantive description and an explicit degree-relevant title phrase are required.</w:t>
            </w:r>
          </w:p>
        </w:tc>
      </w:tr>
      <w:tr>
        <w:tc>
          <w:tcPr>
            <w:tcW w:type="dxa" w:w="20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Skill demand</w:t>
            </w:r>
          </w:p>
        </w:tc>
        <w:tc>
          <w:tcPr>
            <w:tcW w:type="dxa" w:w="727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 skill counts once per listing and only when present in description text.</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Source resilience</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Public feeds are collected independently; one unavailable feed does not stop the remaining sources.</w:t>
            </w:r>
          </w:p>
        </w:tc>
      </w:tr>
      <w:tr>
        <w:tc>
          <w:tcPr>
            <w:tcW w:type="dxa" w:w="20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Sample scope</w:t>
            </w:r>
          </w:p>
        </w:tc>
        <w:tc>
          <w:tcPr>
            <w:tcW w:type="dxa" w:w="727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Remote and European feeds are overrepresented; the sample is not a complete labor-market census.</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Student outcome</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Alignment supports preparation planning and does not guarantee an interview, offer, salary, or employment.</w:t>
            </w:r>
          </w:p>
        </w:tc>
      </w:tr>
    </w:tbl>
    <w:p>
      <w:pPr>
        <w:spacing w:after="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SyllabusCheck  |  Information Technology and Management (ITM) Market Alignment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