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Adapt AI — Product Requirements Document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66666"/>
          <w:sz w:val="14"/>
          <w:szCs w:val="14"/>
        </w:rPr>
        <w:t xml:space="preserve">AI-native platform-specific content adaptation with A/B variant generation and rationale</w:t>
      </w:r>
    </w:p>
    <w:p>
      <w:pPr>
        <w:pStyle w:val="Heading1"/>
      </w:pPr>
      <w:r>
        <w:t xml:space="preserve">User and Pain Point</w:t>
      </w:r>
    </w:p>
    <w:p>
      <w:pPr>
        <w:spacing w:after="30"/>
      </w:pPr>
      <w:r>
        <w:rPr>
          <w:rFonts w:ascii="Arial" w:cs="Arial" w:eastAsia="Arial" w:hAnsi="Arial"/>
          <w:sz w:val="15"/>
          <w:szCs w:val="15"/>
        </w:rPr>
        <w:t xml:space="preserve">In-house social leads at AI-forward B2B companies (Series B–D, 1–3 marketers, 4–5 platforms). Spend 2–3 hrs rewriting 1 post for 5 platforms — mechanical work needing platform fluency, not strategy. Existing tools cross-post or trim. Alternative: $100–150K hire for reformatting. ICP has budget ($16–20K/yr), recurring need, validated WTP.</w:t>
      </w:r>
    </w:p>
    <w:p>
      <w:pPr>
        <w:spacing w:after="30"/>
        <w:jc w:val="center"/>
      </w:pPr>
      <w:r>
        <w:drawing>
          <wp:inline distT="0" distB="0" distL="0" distR="0">
            <wp:extent cx="3238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Market Wedge</w:t>
      </w:r>
    </w:p>
    <w:p>
      <w:pPr>
        <w:spacing w:after="30"/>
      </w:pPr>
      <w:r>
        <w:rPr>
          <w:rFonts w:ascii="Arial" w:cs="Arial" w:eastAsia="Arial" w:hAnsi="Arial"/>
          <w:sz w:val="15"/>
          <w:szCs w:val="15"/>
        </w:rPr>
        <w:t xml:space="preserve">Not generation — every AI tool does that. Adapt’s wedge is 3 compounding levers:</w:t>
      </w:r>
    </w:p>
    <w:tbl>
      <w:tblPr>
        <w:tblW w:type="dxa" w:w="108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500"/>
        <w:gridCol w:w="472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Lever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What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Why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How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Improved performance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Content re-created per platform’s ranking function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2–3 A/B variants per platform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Improves via engagement feedback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Incumbents cross-post or trim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Invisible algorithmic rules (LI dwell, X link penalties, TT completion)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Cross-posted content gets buried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8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Platform Signal Registry: pre-built + custom + cross-brand learned rules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Re-creates, not reformats — learns from edits + engagement per-brand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A/B tests hooks; engagement index vs. baseline from day 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Faster time to final draft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ListParagraph"/>
              <w:numPr>
                <w:ilvl w:val="0"/>
                <w:numId w:val="5"/>
              </w:numPr>
              <w:spacing w:after="8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1 source → 5 drafts in &lt;5 min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Reusable workflows with per-platform composition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Human review built into DAG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8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Overstaffed for throughput, understaffed for strategy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8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Mechanical adaptation is the bottleneck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8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1 person × 3 people’s work = ROI vs. $150K hire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8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Pipelines: source → composition (voice+agent+audience+rules) → gen → review → publish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8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Human checkpoints configurable per content type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8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Auto-scheduling from per-brand engagement data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Insight into what works and why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ListParagraph"/>
              <w:numPr>
                <w:ilvl w:val="0"/>
                <w:numId w:val="8"/>
              </w:numPr>
              <w:spacing w:after="8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Rationale for every variant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8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Post-publish prediction tracking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8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Intelligence compounds per-brand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ListParagraph"/>
              <w:numPr>
                <w:ilvl w:val="0"/>
                <w:numId w:val="9"/>
              </w:numPr>
              <w:spacing w:after="8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No incumbent closes creation → analytics loop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8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Insights don’t flow back to creative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8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Buyers want reasoning, not just output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ListParagraph"/>
              <w:numPr>
                <w:ilvl w:val="0"/>
                <w:numId w:val="10"/>
              </w:numPr>
              <w:spacing w:after="8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Rationale + engagement attributed to content features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8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Per-brand learning refines recommendations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8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Accumulated intelligence = switching costs = moat</w:t>
            </w:r>
          </w:p>
        </w:tc>
      </w:tr>
    </w:tbl>
    <w:p>
      <w:pPr>
        <w:spacing w:after="20"/>
      </w:pPr>
    </w:p>
    <w:p>
      <w:pPr>
        <w:pStyle w:val="Heading1"/>
      </w:pPr>
      <w:r>
        <w:t xml:space="preserve">MVP Scope</w:t>
      </w:r>
    </w:p>
    <w:p>
      <w:pPr>
        <w:spacing w:after="30"/>
      </w:pPr>
      <w:r>
        <w:rPr>
          <w:rFonts w:ascii="Arial" w:cs="Arial" w:eastAsia="Arial" w:hAnsi="Arial"/>
          <w:sz w:val="15"/>
          <w:szCs w:val="15"/>
        </w:rPr>
        <w:t xml:space="preserve">1 source → adapted outputs for LI, X, IG, TT, FB. Platform-native adaptation with signal encoding. 2–3 A/B variants per platform with rationale. Accept/edit/regenerate per-variant. Side-by-side comparison.</w:t>
      </w:r>
    </w:p>
    <w:p>
      <w:pPr>
        <w:pStyle w:val="Heading1"/>
      </w:pPr>
      <w:r>
        <w:t xml:space="preserve">Sequencing</w:t>
      </w:r>
    </w:p>
    <w:tbl>
      <w:tblPr>
        <w:tblW w:type="dxa" w:w="108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582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Phase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Scope</w:t>
            </w:r>
          </w:p>
        </w:tc>
        <w:tc>
          <w:tcPr>
            <w:tcW w:type="dxa" w:w="5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Why This Order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MVP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Adaptation + A/B with rationale, 5 channels</w:t>
            </w:r>
          </w:p>
        </w:tc>
        <w:tc>
          <w:tcPr>
            <w:tcW w:type="dxa" w:w="5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Content flowing. A/B rationale seeds intelligence.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V1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Brand voice learning + analytics baseline</w:t>
            </w:r>
          </w:p>
        </w:tc>
        <w:tc>
          <w:tcPr>
            <w:tcW w:type="dxa" w:w="5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Capture what performs. Backfill 6–12mo at onboarding.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V1.5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Intelligence feedback loop + health report</w:t>
            </w:r>
          </w:p>
        </w:tc>
        <w:tc>
          <w:tcPr>
            <w:tcW w:type="dxa" w:w="5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Moat compounds. Switching costs grow.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V2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Experimentation, scheduling, inbox</w:t>
            </w:r>
          </w:p>
        </w:tc>
        <w:tc>
          <w:tcPr>
            <w:tcW w:type="dxa" w:w="5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Requires volume + data. Multiplies the loop.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V3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Ads, agency support, creator tier</w:t>
            </w:r>
          </w:p>
        </w:tc>
        <w:tc>
          <w:tcPr>
            <w:tcW w:type="dxa" w:w="5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Organic is the wedge; ads are the budget.</w:t>
            </w:r>
          </w:p>
        </w:tc>
      </w:tr>
    </w:tbl>
    <w:p>
      <w:pPr>
        <w:spacing w:after="10"/>
      </w:pPr>
    </w:p>
    <w:p>
      <w:pPr>
        <w:pStyle w:val="Heading1"/>
      </w:pPr>
      <w:r>
        <w:t xml:space="preserve">Why A/B With Rationale as Depth Area</w:t>
      </w:r>
    </w:p>
    <w:p>
      <w:pPr>
        <w:spacing w:after="0"/>
      </w:pPr>
    </w:p>
    <w:p>
      <w:pPr>
        <w:pStyle w:val="ListParagraph"/>
        <w:numPr>
          <w:ilvl w:val="0"/>
          <w:numId w:val="11"/>
        </w:numPr>
        <w:spacing w:after="10"/>
      </w:pPr>
      <w:r>
        <w:rPr>
          <w:rFonts w:ascii="Arial" w:cs="Arial" w:eastAsia="Arial" w:hAnsi="Arial"/>
          <w:sz w:val="15"/>
          <w:szCs w:val="15"/>
        </w:rPr>
        <w:t xml:space="preserve">Demonstrates quality + measurement instinct. Rationale = system showing reasoning = enterprise trust.</w:t>
      </w:r>
    </w:p>
    <w:p>
      <w:pPr>
        <w:pStyle w:val="ListParagraph"/>
        <w:numPr>
          <w:ilvl w:val="0"/>
          <w:numId w:val="11"/>
        </w:numPr>
        <w:spacing w:after="10"/>
      </w:pPr>
      <w:r>
        <w:rPr>
          <w:rFonts w:ascii="Arial" w:cs="Arial" w:eastAsia="Arial" w:hAnsi="Arial"/>
          <w:sz w:val="15"/>
          <w:szCs w:val="15"/>
        </w:rPr>
        <w:t xml:space="preserve">Seeds the intelligence layer. Engagement data makes rationale predictions testable. That loop is the moat.</w:t>
      </w:r>
    </w:p>
    <w:p>
      <w:pPr>
        <w:pStyle w:val="ListParagraph"/>
        <w:numPr>
          <w:ilvl w:val="0"/>
          <w:numId w:val="11"/>
        </w:numPr>
        <w:spacing w:after="10"/>
      </w:pPr>
      <w:r>
        <w:rPr>
          <w:rFonts w:ascii="Arial" w:cs="Arial" w:eastAsia="Arial" w:hAnsi="Arial"/>
          <w:sz w:val="15"/>
          <w:szCs w:val="15"/>
        </w:rPr>
        <w:t xml:space="preserve">Validated by enterprise buyers. Compatible with all future depth areas.</w:t>
      </w:r>
    </w:p>
    <w:p>
      <w:r>
        <w:br w:type="page"/>
      </w:r>
    </w:p>
    <w:p>
      <w:pPr>
        <w:pStyle w:val="Heading1"/>
      </w:pPr>
      <w:r>
        <w:t xml:space="preserve">Product Metrics</w:t>
      </w:r>
    </w:p>
    <w:p>
      <w:pPr>
        <w:spacing w:after="30"/>
      </w:pPr>
      <w:r>
        <w:rPr>
          <w:rFonts w:ascii="Arial" w:cs="Arial" w:eastAsia="Arial" w:hAnsi="Arial"/>
          <w:sz w:val="15"/>
          <w:szCs w:val="15"/>
        </w:rPr>
        <w:t xml:space="preserve">Organized by market wedge lever. Leading indicators (per-run) to lagging indicators (compounding over months).</w:t>
      </w:r>
    </w:p>
    <w:tbl>
      <w:tblPr>
        <w:tblW w:type="dxa" w:w="108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2800"/>
        <w:gridCol w:w="1200"/>
        <w:gridCol w:w="362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Lever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What It Measures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Target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Why It Matters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Improved performance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Engagement index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Avg engagement of Adapt content vs. pre-Adapt baseline, per platform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&gt;1.2x mo 2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Core value prop. Proves adapted content performs better, not just faster.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Variant acceptance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% of variants accepted (with or without edit) vs. rejected/regen’d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&gt;80%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Are outputs usable starting points? Low = composition or voice needs work.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Blind preference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% AI content preferred over human in blind test (20 posts monthly)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&gt;60%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Ultimate quality proof. AI preferred more often than not = quality bar crossed.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Edit 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Minutes spent per edit (click “edit” to save). Measures remaining friction.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&lt;2 min mo 3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Time is the honest quality measure. Quick tweaks vs. rewrites.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Edit distance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Token diff between AI-generated and human-final (0–1). Decomposed by type: tone, length, hook, CTA, structure.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&lt;0.15 mo 3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Precision: 0.05 = word swap, 0.40 = rewrite. Type decomposition shows where AI fails.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Tone edit rate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 all edits, % that are tone/vocabulary fixes (“doesn’t sound like us”). From edit delta classifier.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&lt;10% mo 3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Product proxy for voice consistency. If taste-maker isn’t fixing tone, voice is calibrated. Cosine sim is the engine; this is the outcome.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Voice blind audit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 AI + 10 human posts rated “sounds like us” (1–5) without knowing source. Quarterly.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AI ±0.5 of human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Direct voice test. AI rated near-human = voice system working.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Faster time to final draft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Time to final draft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Minutes from source input to all variants review-ready. Excludes human review.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&lt;5 min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Headline efficiency: 2–3 hrs → &lt;5 min. Justifies spend in first demo.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Content throughput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Posts published per marketer per month via Adapt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&gt;3x pre-Adapt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Efficiency multiplier. 1 marketer doing 3 people’s work.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Platform coverage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% of connected platforms with active content flowing monthly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&gt;80%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Stickiness. Connected 5 but using 2 = adaptation not landing on unused platforms.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Workflow reuse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% of runs from existing definitions (vs. creating new each time)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&gt;70%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Composition model stickiness. High reuse = per-platform combos that work.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Insight into what works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Rationale accuracy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% of rationale predictions matching actual engagement outcomes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&gt;50% mo 6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Proves the loop: predictions match reality = genuine insight, not just generation.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Pattern adoption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% of auto-detected taste-maker patterns accepted (not dismissed)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&gt;70%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Is the intelligence layer learning the right things?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Composition convergence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% of runs where user keeps default composition (no mid-run swaps)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&gt;80% mo 3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Are per-platform defaults well-calibrated? Rising = system learned what works where.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Net intelligence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Composite: corpus size × data depth × pattern count × edit distance improvement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Always rising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The moat as a number. Higher = more intelligence = harder to leave.</w:t>
            </w:r>
          </w:p>
        </w:tc>
      </w:tr>
    </w:tbl>
    <w:p>
      <w:pPr>
        <w:spacing w:after="30"/>
      </w:pPr>
    </w:p>
    <w:p>
      <w:pPr>
        <w:spacing w:after="30"/>
      </w:pPr>
      <w:r>
        <w:rPr>
          <w:rFonts w:ascii="Arial" w:cs="Arial" w:eastAsia="Arial" w:hAnsi="Arial"/>
          <w:sz w:val="15"/>
          <w:szCs w:val="15"/>
        </w:rPr>
        <w:t xml:space="preserve">Performance: are variants good and getting better? (engagement, blind pref, edit time/distance, tone edit rate, voice audit). Time: is it saving real time? (draft speed, throughput, coverage, reuse). Insight: is intelligence compounding? (rationale accuracy, pattern adoption, convergence, net intelligence).</w:t>
      </w:r>
    </w:p>
    <w:sectPr>
      <w:headerReference w:type="default" r:id="rId7"/>
      <w:pgSz w:w="12240" w:h="15840" w:orient="portrait"/>
      <w:pgMar w:top="680" w:right="700" w:bottom="58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rPr>
        <w:rFonts w:ascii="Arial" w:cs="Arial" w:eastAsia="Arial" w:hAnsi="Arial"/>
        <w:color w:val="999999"/>
        <w:sz w:val="13"/>
        <w:szCs w:val="13"/>
      </w:rPr>
      <w:t xml:space="preserve">ADAPT AI — PRD</w:t>
    </w:r>
    <w:r>
      <w:rPr>
        <w:rFonts w:ascii="Arial" w:cs="Arial" w:eastAsia="Arial" w:hAnsi="Arial"/>
        <w:sz w:val="13"/>
        <w:szCs w:val="13"/>
      </w:rPr>
      <w:t xml:space="preserve">                                                                                                          </w:t>
    </w:r>
    <w:r>
      <w:rPr>
        <w:rFonts w:ascii="Arial" w:cs="Arial" w:eastAsia="Arial" w:hAnsi="Arial"/>
        <w:color w:val="999999"/>
        <w:sz w:val="13"/>
        <w:szCs w:val="13"/>
      </w:rPr>
      <w:t xml:space="preserve">Atharva |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40" w:hanging="1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40" w:hanging="1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40" w:hanging="1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40" w:hanging="1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40" w:hanging="16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40" w:hanging="1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40" w:hanging="16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40" w:hanging="1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40" w:hanging="16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40" w:hanging="1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40" w:hanging="160"/>
      </w:pPr>
    </w:lvl>
  </w:abstractNum>
  <w:abstractNum w:abstractNumId="4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40" w:hanging="160"/>
      </w:pPr>
    </w:lvl>
  </w:abstractNum>
  <w:num w:numId="1">
    <w:abstractNumId w:val="1"/>
    <w:lvlOverride w:ilvl="0">
      <w:startOverride w:val="1"/>
    </w:lvlOverride>
  </w:num>
  <w:num w:numId="2">
    <w:abstractNumId w:val="32"/>
    <w:lvlOverride w:ilvl="0">
      <w:startOverride w:val="1"/>
    </w:lvlOverride>
  </w:num>
  <w:num w:numId="3">
    <w:abstractNumId w:val="33"/>
    <w:lvlOverride w:ilvl="0">
      <w:startOverride w:val="1"/>
    </w:lvlOverride>
  </w:num>
  <w:num w:numId="4">
    <w:abstractNumId w:val="34"/>
    <w:lvlOverride w:ilvl="0">
      <w:startOverride w:val="1"/>
    </w:lvlOverride>
  </w:num>
  <w:num w:numId="5">
    <w:abstractNumId w:val="35"/>
    <w:lvlOverride w:ilvl="0">
      <w:startOverride w:val="1"/>
    </w:lvlOverride>
  </w:num>
  <w:num w:numId="6">
    <w:abstractNumId w:val="36"/>
    <w:lvlOverride w:ilvl="0">
      <w:startOverride w:val="1"/>
    </w:lvlOverride>
  </w:num>
  <w:num w:numId="7">
    <w:abstractNumId w:val="37"/>
    <w:lvlOverride w:ilvl="0">
      <w:startOverride w:val="1"/>
    </w:lvlOverride>
  </w:num>
  <w:num w:numId="8">
    <w:abstractNumId w:val="38"/>
    <w:lvlOverride w:ilvl="0">
      <w:startOverride w:val="1"/>
    </w:lvlOverride>
  </w:num>
  <w:num w:numId="9">
    <w:abstractNumId w:val="39"/>
    <w:lvlOverride w:ilvl="0">
      <w:startOverride w:val="1"/>
    </w:lvlOverride>
  </w:num>
  <w:num w:numId="10">
    <w:abstractNumId w:val="40"/>
    <w:lvlOverride w:ilvl="0">
      <w:startOverride w:val="1"/>
    </w:lvlOverride>
  </w:num>
  <w:num w:numId="11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5"/>
        <w:szCs w:val="15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1A2E" w:sz="2" w:space="1"/>
      </w:pBdr>
      <w:spacing w:after="16" w:before="60"/>
      <w:outlineLvl w:val="0"/>
    </w:pPr>
    <w:rPr>
      <w:rFonts w:ascii="Arial" w:cs="Arial" w:eastAsia="Arial" w:hAnsi="Arial"/>
      <w:b/>
      <w:bCs/>
      <w:color w:val="1A1A2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25a8c824d455e61c9615568eea0e2f7081abb18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2026-04-13T07:27:03.052Z</dcterms:created>
  <dcterms:modified xsi:type="dcterms:W3CDTF">2026-04-13T07:27:03.053Z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