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aps/>
          <w:color w:val="9C6B1E"/>
          <w:sz w:val="20"/>
          <w:szCs w:val="20"/>
        </w:rPr>
        <w:t xml:space="preserve">DRAFT RED HERRING PROSPECTUS</w:t>
      </w:r>
    </w:p>
    <w:p>
      <w:pPr>
        <w:spacing w:after="60"/>
        <w:jc w:val="center"/>
      </w:pPr>
      <w:r>
        <w:rPr>
          <w:rFonts w:ascii="Calibri" w:cs="Calibri" w:eastAsia="Calibri" w:hAnsi="Calibri"/>
          <w:color w:val="5B6472"/>
          <w:sz w:val="15"/>
          <w:szCs w:val="15"/>
        </w:rPr>
        <w:t xml:space="preserve">Dated 22 July 2026 · Please read section 26 of the Companies Act, 2013</w:t>
      </w:r>
    </w:p>
    <w:p>
      <w:pPr>
        <w:spacing w:after="40"/>
        <w:jc w:val="center"/>
      </w:pPr>
      <w:r>
        <w:rPr>
          <w:rFonts w:ascii="Calibri" w:cs="Calibri" w:eastAsia="Calibri" w:hAnsi="Calibri"/>
          <w:color w:val="5B6472"/>
          <w:sz w:val="15"/>
          <w:szCs w:val="15"/>
        </w:rPr>
        <w:t xml:space="preserve">Fresh issue and offer for sale, 100% book built · Book building / fixed price to be confirmed by the Lead Manager</w:t>
      </w:r>
    </w:p>
    <w:p>
      <w:pPr>
        <w:spacing w:after="200"/>
      </w:pPr>
    </w:p>
    <w:p>
      <w:pPr>
        <w:spacing w:after="120"/>
        <w:jc w:val="center"/>
      </w:pPr>
      <w:r>
        <w:rPr>
          <w:rFonts w:ascii="Georgia" w:cs="Georgia" w:eastAsia="Georgia" w:hAnsi="Georgia"/>
          <w:b/>
          <w:bCs/>
          <w:color w:val="1B2E4A"/>
          <w:sz w:val="40"/>
          <w:szCs w:val="40"/>
        </w:rPr>
        <w:t xml:space="preserve">Himalayan Solar Limited</w:t>
      </w:r>
    </w:p>
    <w:p>
      <w:pPr>
        <w:spacing w:after="60"/>
        <w:jc w:val="center"/>
      </w:pPr>
      <w:r>
        <w:rPr>
          <w:rFonts w:ascii="Georgia" w:cs="Georgia" w:eastAsia="Georgia" w:hAnsi="Georgia"/>
          <w:color w:val="5B6472"/>
          <w:sz w:val="19"/>
          <w:szCs w:val="19"/>
        </w:rPr>
        <w:t xml:space="preserve">CIN: U40100HR2015PLC056609</w:t>
      </w:r>
    </w:p>
    <w:p>
      <w:pPr>
        <w:spacing w:after="20"/>
        <w:jc w:val="center"/>
      </w:pPr>
      <w:r>
        <w:rPr>
          <w:rFonts w:ascii="Georgia" w:cs="Georgia" w:eastAsia="Georgia" w:hAnsi="Georgia"/>
          <w:color w:val="5B6472"/>
          <w:sz w:val="19"/>
          <w:szCs w:val="19"/>
        </w:rPr>
        <w:t xml:space="preserve">Incorporated on 8 September 2015 at Haryana under the Companies Act</w:t>
      </w:r>
    </w:p>
    <w:p>
      <w:pPr>
        <w:spacing w:after="120"/>
      </w:pPr>
    </w:p>
    <w:p>
      <w:pPr>
        <w:spacing w:after="30"/>
        <w:jc w:val="center"/>
      </w:pPr>
      <w:r>
        <w:rPr>
          <w:rFonts w:ascii="Georgia" w:cs="Georgia" w:eastAsia="Georgia" w:hAnsi="Georgia"/>
          <w:sz w:val="18"/>
          <w:szCs w:val="18"/>
        </w:rPr>
        <w:t xml:space="preserve">Registered office: SCO-411, 2nd Floor, Sector 20, Panchkula, Haryana 134117, India</w:t>
      </w:r>
    </w:p>
    <w:p>
      <w:pPr>
        <w:spacing w:after="20"/>
        <w:jc w:val="center"/>
      </w:pPr>
      <w:r>
        <w:rPr>
          <w:rFonts w:ascii="Georgia" w:cs="Georgia" w:eastAsia="Georgia" w:hAnsi="Georgia"/>
          <w:color w:val="5B6472"/>
          <w:sz w:val="17"/>
          <w:szCs w:val="17"/>
        </w:rPr>
        <w:t xml:space="preserve">Tel: +91 7087117405  ·  Email: cs@himalayansolar.co.in  ·  Website: www.himalayansolar.co.in</w:t>
      </w:r>
    </w:p>
    <w:p>
      <w:pPr>
        <w:spacing w:after="30"/>
        <w:jc w:val="center"/>
      </w:pPr>
      <w:r>
        <w:rPr>
          <w:rFonts w:ascii="Georgia" w:cs="Georgia" w:eastAsia="Georgia" w:hAnsi="Georgia"/>
          <w:sz w:val="18"/>
          <w:szCs w:val="18"/>
        </w:rPr>
        <w:t xml:space="preserve">Company Secretary and Compliance Officer: Mrs. Navkiran Kaur, Company Secretary and Compliance Officer</w:t>
      </w:r>
    </w:p>
    <w:p>
      <w:pPr>
        <w:spacing w:after="20"/>
        <w:jc w:val="center"/>
      </w:pPr>
      <w:r>
        <w:rPr>
          <w:rFonts w:ascii="Georgia" w:cs="Georgia" w:eastAsia="Georgia" w:hAnsi="Georgia"/>
          <w:sz w:val="18"/>
          <w:szCs w:val="18"/>
        </w:rPr>
        <w:t xml:space="preserve">Promoters: Mr. Manjeet Singh, Mrs. Karthiyani M, Mr. Himanshu Dalal, Mr. Mehtab Singh and Mrs. Anita Kumari</w:t>
      </w:r>
    </w:p>
    <w:p>
      <w:pPr>
        <w:spacing w:after="160"/>
      </w:pPr>
    </w:p>
    <w:p>
      <w:pPr>
        <w:spacing w:after="60"/>
        <w:jc w:val="center"/>
      </w:pPr>
      <w:r>
        <w:rPr>
          <w:rFonts w:ascii="Calibri" w:cs="Calibri" w:eastAsia="Calibri" w:hAnsi="Calibri"/>
          <w:b/>
          <w:bCs/>
          <w:color w:val="1B2E4A"/>
          <w:sz w:val="18"/>
          <w:szCs w:val="18"/>
        </w:rPr>
        <w:t xml:space="preserve">THE ISSUE</w:t>
      </w:r>
    </w:p>
    <w:p>
      <w:pPr>
        <w:spacing w:after="40"/>
        <w:jc w:val="center"/>
      </w:pPr>
      <w:r>
        <w:rPr>
          <w:rFonts w:ascii="Georgia" w:cs="Georgia" w:eastAsia="Georgia" w:hAnsi="Georgia"/>
          <w:b/>
          <w:bCs/>
          <w:sz w:val="20"/>
          <w:szCs w:val="20"/>
        </w:rPr>
        <w:t xml:space="preserve">[· Particulars of the Issue to be supplied ·]</w:t>
      </w:r>
    </w:p>
    <w:p>
      <w:pPr>
        <w:spacing w:after="30"/>
        <w:jc w:val="center"/>
      </w:pPr>
      <w:r>
        <w:rPr>
          <w:rFonts w:ascii="Georgia" w:cs="Georgia" w:eastAsia="Georgia" w:hAnsi="Georgia"/>
          <w:sz w:val="19"/>
          <w:szCs w:val="19"/>
        </w:rPr>
        <w:t xml:space="preserve">Price band: [·]</w:t>
      </w:r>
    </w:p>
    <w:p>
      <w:pPr>
        <w:spacing w:after="20"/>
        <w:jc w:val="center"/>
      </w:pPr>
      <w:r>
        <w:rPr>
          <w:rFonts w:ascii="Georgia" w:cs="Georgia" w:eastAsia="Georgia" w:hAnsi="Georgia"/>
          <w:color w:val="5B6472"/>
          <w:sz w:val="17"/>
          <w:szCs w:val="17"/>
        </w:rPr>
        <w:t xml:space="preserve">The equity shares are proposed to be listed on NSE Emerge in accordance with Chapter IX of the ICDR Regulations</w:t>
      </w:r>
    </w:p>
    <w:p>
      <w:pPr>
        <w:spacing w:after="160"/>
      </w:pPr>
    </w:p>
    <w:p>
      <w:pPr>
        <w:spacing w:after="100" w:before="80"/>
        <w:jc w:val="both"/>
      </w:pPr>
      <w:r>
        <w:rPr>
          <w:rFonts w:ascii="Calibri" w:cs="Calibri" w:eastAsia="Calibri" w:hAnsi="Calibri"/>
          <w:b/>
          <w:bCs/>
          <w:color w:val="1B2E4A"/>
          <w:sz w:val="15"/>
          <w:szCs w:val="15"/>
        </w:rPr>
        <w:t xml:space="preserve">GENERAL RISK:  </w:t>
      </w:r>
      <w:r>
        <w:rPr>
          <w:rFonts w:ascii="Georgia" w:cs="Georgia" w:eastAsia="Georgia" w:hAnsi="Georgia"/>
          <w:sz w:val="17"/>
          <w:szCs w:val="17"/>
        </w:rPr>
        <w:t xml:space="preserve">Investments in equity and equity-related securities involve a degree of risk, and investors should not invest any funds in the Issue unless they can afford to take the risk of losing their investment. Investors are advised to read the risk factors carefully before taking an investment decision. In making an investment decision, prospective investors must rely on their own examination of the Company and the Issue, including the risks involved. The equity shares have not been recommended or approved by the Securities and Exchange Board of India, nor does SEBI guarantee the accuracy or adequacy of the contents of this document.</w:t>
      </w:r>
    </w:p>
    <w:p>
      <w:pPr>
        <w:spacing w:after="100" w:before="80"/>
        <w:jc w:val="both"/>
      </w:pPr>
      <w:r>
        <w:rPr>
          <w:rFonts w:ascii="Calibri" w:cs="Calibri" w:eastAsia="Calibri" w:hAnsi="Calibri"/>
          <w:b/>
          <w:bCs/>
          <w:color w:val="1B2E4A"/>
          <w:sz w:val="15"/>
          <w:szCs w:val="15"/>
        </w:rPr>
        <w:t xml:space="preserve">ISSUER'S ABSOLUTE RESPONSIBILITY:  </w:t>
      </w:r>
      <w:r>
        <w:rPr>
          <w:rFonts w:ascii="Georgia" w:cs="Georgia" w:eastAsia="Georgia" w:hAnsi="Georgia"/>
          <w:sz w:val="17"/>
          <w:szCs w:val="17"/>
        </w:rPr>
        <w:t xml:space="preserve">The Company, having made all reasonable enquiries, accepts responsibility for and confirms that this Draft Red Herring Prospectus contains all information with regard to the Company and the Issue which is material in the context of the Issue, that the information contained is true and correct in all material respects and is not misleading in any material respect, that the opinions and intentions expressed are honestly held, and that there are no other facts the omission of which makes this document as a whole or any such information or the expression of any such opinions or intentions misleading in any material respect.</w:t>
      </w:r>
    </w:p>
    <w:p>
      <w:pPr>
        <w:spacing w:after="100" w:before="80"/>
        <w:jc w:val="both"/>
      </w:pPr>
      <w:r>
        <w:rPr>
          <w:rFonts w:ascii="Calibri" w:cs="Calibri" w:eastAsia="Calibri" w:hAnsi="Calibri"/>
          <w:b/>
          <w:bCs/>
          <w:color w:val="1B2E4A"/>
          <w:sz w:val="15"/>
          <w:szCs w:val="15"/>
        </w:rPr>
        <w:t xml:space="preserve">LEAD MANAGER'S RESPONSIBILITY:  </w:t>
      </w:r>
      <w:r>
        <w:rPr>
          <w:rFonts w:ascii="Georgia" w:cs="Georgia" w:eastAsia="Georgia" w:hAnsi="Georgia"/>
          <w:sz w:val="17"/>
          <w:szCs w:val="17"/>
        </w:rPr>
        <w:t xml:space="preserve">The Lead Manager, as the lead manager to the Issue, is required to certify, by way of a due diligence certificate furnished to SEBI, that the disclosures made in this Draft Red Herring Prospectus are generally adequate and are in conformity with the ICDR Regulations. This certification is the responsibility of the lead manager and is discharged after the completion of due diligence.</w:t>
      </w:r>
    </w:p>
    <w:p>
      <w:pPr>
        <w:spacing w:after="120"/>
      </w:pPr>
    </w:p>
    <w:tbl>
      <w:tblPr>
        <w:tblW w:type="pct" w:w="100%"/>
        <w:tblBorders>
          <w:top w:val="single" w:color="C9D2DE" w:sz="4"/>
          <w:left w:val="none" w:color="auto" w:sz="0"/>
          <w:bottom w:val="none" w:color="auto" w:sz="0"/>
          <w:right w:val="none" w:color="auto" w:sz="0"/>
          <w:insideH w:val="none" w:color="auto" w:sz="0"/>
          <w:insideV w:val="none" w:color="auto" w:sz="0"/>
        </w:tblBorders>
      </w:tblPr>
      <w:tblGrid>
        <w:gridCol w:w="100"/>
        <w:gridCol w:w="100"/>
        <w:gridCol w:w="100"/>
      </w:tblGrid>
      <w:tr>
        <w:tc>
          <w:tcPr>
            <w:tcBorders>
              <w:top w:val="single" w:color="C9D2DE" w:sz="4"/>
              <w:left w:val="none" w:color="auto" w:sz="0"/>
              <w:bottom w:val="none" w:color="auto" w:sz="0"/>
              <w:right w:val="none" w:color="auto" w:sz="0"/>
            </w:tcBorders>
          </w:tcPr>
          <w:p>
            <w:pPr>
              <w:spacing w:before="80"/>
              <w:jc w:val="center"/>
            </w:pPr>
            <w:r>
              <w:rPr>
                <w:rFonts w:ascii="Calibri" w:cs="Calibri" w:eastAsia="Calibri" w:hAnsi="Calibri"/>
                <w:b/>
                <w:bCs/>
                <w:color w:val="5B6472"/>
                <w:sz w:val="13"/>
                <w:szCs w:val="13"/>
              </w:rPr>
              <w:t xml:space="preserve">LEAD MANAGER</w:t>
            </w:r>
          </w:p>
          <w:p>
            <w:pPr>
              <w:jc w:val="center"/>
            </w:pPr>
            <w:r>
              <w:rPr>
                <w:rFonts w:ascii="Georgia" w:cs="Georgia" w:eastAsia="Georgia" w:hAnsi="Georgia"/>
                <w:b/>
                <w:bCs/>
                <w:sz w:val="17"/>
                <w:szCs w:val="17"/>
              </w:rPr>
              <w:t xml:space="preserve">[·]</w:t>
            </w:r>
          </w:p>
        </w:tc>
        <w:tc>
          <w:tcPr>
            <w:tcBorders>
              <w:top w:val="single" w:color="C9D2DE" w:sz="4"/>
              <w:left w:val="none" w:color="auto" w:sz="0"/>
              <w:bottom w:val="none" w:color="auto" w:sz="0"/>
              <w:right w:val="none" w:color="auto" w:sz="0"/>
            </w:tcBorders>
          </w:tcPr>
          <w:p>
            <w:pPr>
              <w:spacing w:before="80"/>
              <w:jc w:val="center"/>
            </w:pPr>
            <w:r>
              <w:rPr>
                <w:rFonts w:ascii="Calibri" w:cs="Calibri" w:eastAsia="Calibri" w:hAnsi="Calibri"/>
                <w:b/>
                <w:bCs/>
                <w:color w:val="5B6472"/>
                <w:sz w:val="13"/>
                <w:szCs w:val="13"/>
              </w:rPr>
              <w:t xml:space="preserve">REGISTRAR TO THE ISSUE</w:t>
            </w:r>
          </w:p>
          <w:p>
            <w:pPr>
              <w:jc w:val="center"/>
            </w:pPr>
            <w:r>
              <w:rPr>
                <w:rFonts w:ascii="Georgia" w:cs="Georgia" w:eastAsia="Georgia" w:hAnsi="Georgia"/>
                <w:b/>
                <w:bCs/>
                <w:sz w:val="17"/>
                <w:szCs w:val="17"/>
              </w:rPr>
              <w:t xml:space="preserve">[·]</w:t>
            </w:r>
          </w:p>
        </w:tc>
        <w:tc>
          <w:tcPr>
            <w:tcBorders>
              <w:top w:val="single" w:color="C9D2DE" w:sz="4"/>
              <w:left w:val="none" w:color="auto" w:sz="0"/>
              <w:bottom w:val="none" w:color="auto" w:sz="0"/>
              <w:right w:val="none" w:color="auto" w:sz="0"/>
            </w:tcBorders>
          </w:tcPr>
          <w:p>
            <w:pPr>
              <w:spacing w:before="80"/>
              <w:jc w:val="center"/>
            </w:pPr>
            <w:r>
              <w:rPr>
                <w:rFonts w:ascii="Calibri" w:cs="Calibri" w:eastAsia="Calibri" w:hAnsi="Calibri"/>
                <w:b/>
                <w:bCs/>
                <w:color w:val="5B6472"/>
                <w:sz w:val="13"/>
                <w:szCs w:val="13"/>
              </w:rPr>
              <w:t xml:space="preserve">MARKET MAKER</w:t>
            </w:r>
          </w:p>
          <w:p>
            <w:pPr>
              <w:jc w:val="center"/>
            </w:pPr>
            <w:r>
              <w:rPr>
                <w:rFonts w:ascii="Georgia" w:cs="Georgia" w:eastAsia="Georgia" w:hAnsi="Georgia"/>
                <w:b/>
                <w:bCs/>
                <w:sz w:val="17"/>
                <w:szCs w:val="17"/>
              </w:rPr>
              <w:t xml:space="preserve">[·]</w:t>
            </w:r>
          </w:p>
        </w:tc>
      </w:tr>
    </w:tbl>
    <w:p>
      <w:pPr>
        <w:spacing w:after="120"/>
      </w:pPr>
    </w:p>
    <w:p>
      <w:pPr>
        <w:spacing w:after="20"/>
        <w:jc w:val="center"/>
      </w:pPr>
      <w:r>
        <w:rPr>
          <w:rFonts w:ascii="Calibri" w:cs="Calibri" w:eastAsia="Calibri" w:hAnsi="Calibri"/>
          <w:b/>
          <w:bCs/>
          <w:color w:val="9C6B1E"/>
          <w:sz w:val="16"/>
          <w:szCs w:val="16"/>
        </w:rPr>
        <w:t xml:space="preserve">PREPARATORY DRAFT GENERATED BY DRAFTER — NOT FOR FILING</w:t>
      </w:r>
    </w:p>
    <w:p>
      <w:pPr>
        <w:spacing w:after="20"/>
        <w:jc w:val="center"/>
      </w:pPr>
      <w:r>
        <w:rPr>
          <w:rFonts w:ascii="Calibri" w:cs="Calibri" w:eastAsia="Calibri" w:hAnsi="Calibri"/>
          <w:color w:val="5B6472"/>
          <w:sz w:val="14"/>
          <w:szCs w:val="14"/>
        </w:rPr>
        <w:t xml:space="preserve">Regulation set 2026-07-R2 · Narrative from deterministic templates</w:t>
      </w:r>
    </w:p>
    <w:p>
      <w:r>
        <w:br w:type="page"/>
      </w:r>
    </w:p>
    <w:p>
      <w:pPr>
        <w:spacing w:after="160"/>
      </w:pPr>
      <w:r>
        <w:rPr>
          <w:rFonts w:ascii="Georgia" w:cs="Georgia" w:eastAsia="Georgia" w:hAnsi="Georgia"/>
          <w:b/>
          <w:bCs/>
          <w:color w:val="1B2E4A"/>
          <w:sz w:val="28"/>
          <w:szCs w:val="28"/>
        </w:rPr>
        <w:t xml:space="preserve">TABLE OF CONTENTS</w:t>
      </w:r>
    </w:p>
    <w:p>
      <w:pPr>
        <w:spacing w:after="40" w:before="120"/>
      </w:pPr>
      <w:r>
        <w:rPr>
          <w:rFonts w:ascii="Calibri" w:cs="Calibri" w:eastAsia="Calibri" w:hAnsi="Calibri"/>
          <w:b/>
          <w:bCs/>
          <w:color w:val="1B2E4A"/>
          <w:sz w:val="18"/>
          <w:szCs w:val="18"/>
        </w:rPr>
        <w:t xml:space="preserve">Section I — General</w:t>
      </w:r>
    </w:p>
    <w:p>
      <w:pPr>
        <w:tabs>
          <w:tab w:val="right" w:pos="9026" w:leader="dot"/>
        </w:tabs>
        <w:spacing w:after="20"/>
        <w:ind w:left="220"/>
      </w:pPr>
      <w:r>
        <w:rPr>
          <w:rFonts w:ascii="Georgia" w:cs="Georgia" w:eastAsia="Georgia" w:hAnsi="Georgia"/>
          <w:sz w:val="19"/>
          <w:szCs w:val="19"/>
        </w:rPr>
        <w:t xml:space="preserve">I.1   Definitions and Abbreviations</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I.2   Presentation of Financial, Industry and Market Data</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I.3   Forward-Looking Statements</w:t>
      </w:r>
      <w:r>
        <w:rPr>
          <w:rFonts w:ascii="Calibri" w:cs="Calibri" w:eastAsia="Calibri" w:hAnsi="Calibri"/>
          <w:color w:val="5B6472"/>
          <w:sz w:val="15"/>
          <w:szCs w:val="15"/>
        </w:rPr>
        <w:t xml:space="preserve">	Drafted</w:t>
      </w:r>
    </w:p>
    <w:p>
      <w:pPr>
        <w:spacing w:after="40" w:before="120"/>
      </w:pPr>
      <w:r>
        <w:rPr>
          <w:rFonts w:ascii="Calibri" w:cs="Calibri" w:eastAsia="Calibri" w:hAnsi="Calibri"/>
          <w:b/>
          <w:bCs/>
          <w:color w:val="1B2E4A"/>
          <w:sz w:val="18"/>
          <w:szCs w:val="18"/>
        </w:rPr>
        <w:t xml:space="preserve">Section II — Risk Factors</w:t>
      </w:r>
    </w:p>
    <w:p>
      <w:pPr>
        <w:tabs>
          <w:tab w:val="right" w:pos="9026" w:leader="dot"/>
        </w:tabs>
        <w:spacing w:after="20"/>
        <w:ind w:left="220"/>
      </w:pPr>
      <w:r>
        <w:rPr>
          <w:rFonts w:ascii="Georgia" w:cs="Georgia" w:eastAsia="Georgia" w:hAnsi="Georgia"/>
          <w:sz w:val="19"/>
          <w:szCs w:val="19"/>
        </w:rPr>
        <w:t xml:space="preserve">II.1   Risk Factors</w:t>
      </w:r>
      <w:r>
        <w:rPr>
          <w:rFonts w:ascii="Calibri" w:cs="Calibri" w:eastAsia="Calibri" w:hAnsi="Calibri"/>
          <w:color w:val="5B6472"/>
          <w:sz w:val="15"/>
          <w:szCs w:val="15"/>
        </w:rPr>
        <w:t xml:space="preserve">	Drafted</w:t>
      </w:r>
    </w:p>
    <w:p>
      <w:pPr>
        <w:spacing w:after="40" w:before="120"/>
      </w:pPr>
      <w:r>
        <w:rPr>
          <w:rFonts w:ascii="Calibri" w:cs="Calibri" w:eastAsia="Calibri" w:hAnsi="Calibri"/>
          <w:b/>
          <w:bCs/>
          <w:color w:val="1B2E4A"/>
          <w:sz w:val="18"/>
          <w:szCs w:val="18"/>
        </w:rPr>
        <w:t xml:space="preserve">Section III — Introduction</w:t>
      </w:r>
    </w:p>
    <w:p>
      <w:pPr>
        <w:tabs>
          <w:tab w:val="right" w:pos="9026" w:leader="dot"/>
        </w:tabs>
        <w:spacing w:after="20"/>
        <w:ind w:left="220"/>
      </w:pPr>
      <w:r>
        <w:rPr>
          <w:rFonts w:ascii="Georgia" w:cs="Georgia" w:eastAsia="Georgia" w:hAnsi="Georgia"/>
          <w:sz w:val="19"/>
          <w:szCs w:val="19"/>
        </w:rPr>
        <w:t xml:space="preserve">III.1   The Issue</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III.2   Summary of Financial Information</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III.3   General Information</w:t>
      </w:r>
      <w:r>
        <w:rPr>
          <w:rFonts w:ascii="Calibri" w:cs="Calibri" w:eastAsia="Calibri" w:hAnsi="Calibri"/>
          <w:color w:val="5B6472"/>
          <w:sz w:val="15"/>
          <w:szCs w:val="15"/>
        </w:rPr>
        <w:t xml:space="preserve">	Partial</w:t>
      </w:r>
    </w:p>
    <w:p>
      <w:pPr>
        <w:tabs>
          <w:tab w:val="right" w:pos="9026" w:leader="dot"/>
        </w:tabs>
        <w:spacing w:after="20"/>
        <w:ind w:left="220"/>
      </w:pPr>
      <w:r>
        <w:rPr>
          <w:rFonts w:ascii="Georgia" w:cs="Georgia" w:eastAsia="Georgia" w:hAnsi="Georgia"/>
          <w:sz w:val="19"/>
          <w:szCs w:val="19"/>
        </w:rPr>
        <w:t xml:space="preserve">III.4   Capital Structure</w:t>
      </w:r>
      <w:r>
        <w:rPr>
          <w:rFonts w:ascii="Calibri" w:cs="Calibri" w:eastAsia="Calibri" w:hAnsi="Calibri"/>
          <w:color w:val="5B6472"/>
          <w:sz w:val="15"/>
          <w:szCs w:val="15"/>
        </w:rPr>
        <w:t xml:space="preserve">	Partial</w:t>
      </w:r>
    </w:p>
    <w:p>
      <w:pPr>
        <w:tabs>
          <w:tab w:val="right" w:pos="9026" w:leader="dot"/>
        </w:tabs>
        <w:spacing w:after="20"/>
        <w:ind w:left="220"/>
      </w:pPr>
      <w:r>
        <w:rPr>
          <w:rFonts w:ascii="Georgia" w:cs="Georgia" w:eastAsia="Georgia" w:hAnsi="Georgia"/>
          <w:sz w:val="19"/>
          <w:szCs w:val="19"/>
        </w:rPr>
        <w:t xml:space="preserve">III.5   Objects of the Issue</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III.6   Basis for Issue Price</w:t>
      </w:r>
      <w:r>
        <w:rPr>
          <w:rFonts w:ascii="Calibri" w:cs="Calibri" w:eastAsia="Calibri" w:hAnsi="Calibri"/>
          <w:color w:val="5B6472"/>
          <w:sz w:val="15"/>
          <w:szCs w:val="15"/>
        </w:rPr>
        <w:t xml:space="preserve">	Partial</w:t>
      </w:r>
    </w:p>
    <w:p>
      <w:pPr>
        <w:tabs>
          <w:tab w:val="right" w:pos="9026" w:leader="dot"/>
        </w:tabs>
        <w:spacing w:after="20"/>
        <w:ind w:left="220"/>
      </w:pPr>
      <w:r>
        <w:rPr>
          <w:rFonts w:ascii="Georgia" w:cs="Georgia" w:eastAsia="Georgia" w:hAnsi="Georgia"/>
          <w:sz w:val="19"/>
          <w:szCs w:val="19"/>
        </w:rPr>
        <w:t xml:space="preserve">III.7   Statement of Special Tax Benefits</w:t>
      </w:r>
      <w:r>
        <w:rPr>
          <w:rFonts w:ascii="Calibri" w:cs="Calibri" w:eastAsia="Calibri" w:hAnsi="Calibri"/>
          <w:color w:val="5B6472"/>
          <w:sz w:val="15"/>
          <w:szCs w:val="15"/>
        </w:rPr>
        <w:t xml:space="preserve">	Partial</w:t>
      </w:r>
    </w:p>
    <w:p>
      <w:pPr>
        <w:spacing w:after="40" w:before="120"/>
      </w:pPr>
      <w:r>
        <w:rPr>
          <w:rFonts w:ascii="Calibri" w:cs="Calibri" w:eastAsia="Calibri" w:hAnsi="Calibri"/>
          <w:b/>
          <w:bCs/>
          <w:color w:val="1B2E4A"/>
          <w:sz w:val="18"/>
          <w:szCs w:val="18"/>
        </w:rPr>
        <w:t xml:space="preserve">Section IV — About the Company</w:t>
      </w:r>
    </w:p>
    <w:p>
      <w:pPr>
        <w:tabs>
          <w:tab w:val="right" w:pos="9026" w:leader="dot"/>
        </w:tabs>
        <w:spacing w:after="20"/>
        <w:ind w:left="220"/>
      </w:pPr>
      <w:r>
        <w:rPr>
          <w:rFonts w:ascii="Georgia" w:cs="Georgia" w:eastAsia="Georgia" w:hAnsi="Georgia"/>
          <w:sz w:val="19"/>
          <w:szCs w:val="19"/>
        </w:rPr>
        <w:t xml:space="preserve">IV.1   Industry Overview</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IV.2   Our Business</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IV.3   Key Regulations and Policies</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IV.4   History and Certain Corporate Matters</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IV.5   Our Management</w:t>
      </w:r>
      <w:r>
        <w:rPr>
          <w:rFonts w:ascii="Calibri" w:cs="Calibri" w:eastAsia="Calibri" w:hAnsi="Calibri"/>
          <w:color w:val="5B6472"/>
          <w:sz w:val="15"/>
          <w:szCs w:val="15"/>
        </w:rPr>
        <w:t xml:space="preserve">	Partial</w:t>
      </w:r>
    </w:p>
    <w:p>
      <w:pPr>
        <w:tabs>
          <w:tab w:val="right" w:pos="9026" w:leader="dot"/>
        </w:tabs>
        <w:spacing w:after="20"/>
        <w:ind w:left="220"/>
      </w:pPr>
      <w:r>
        <w:rPr>
          <w:rFonts w:ascii="Georgia" w:cs="Georgia" w:eastAsia="Georgia" w:hAnsi="Georgia"/>
          <w:sz w:val="19"/>
          <w:szCs w:val="19"/>
        </w:rPr>
        <w:t xml:space="preserve">IV.6   Our Promoters and Promoter Group</w:t>
      </w:r>
      <w:r>
        <w:rPr>
          <w:rFonts w:ascii="Calibri" w:cs="Calibri" w:eastAsia="Calibri" w:hAnsi="Calibri"/>
          <w:color w:val="5B6472"/>
          <w:sz w:val="15"/>
          <w:szCs w:val="15"/>
        </w:rPr>
        <w:t xml:space="preserve">	Partial</w:t>
      </w:r>
    </w:p>
    <w:p>
      <w:pPr>
        <w:tabs>
          <w:tab w:val="right" w:pos="9026" w:leader="dot"/>
        </w:tabs>
        <w:spacing w:after="20"/>
        <w:ind w:left="220"/>
      </w:pPr>
      <w:r>
        <w:rPr>
          <w:rFonts w:ascii="Georgia" w:cs="Georgia" w:eastAsia="Georgia" w:hAnsi="Georgia"/>
          <w:sz w:val="19"/>
          <w:szCs w:val="19"/>
        </w:rPr>
        <w:t xml:space="preserve">IV.7   Our Group Companies</w:t>
      </w:r>
      <w:r>
        <w:rPr>
          <w:rFonts w:ascii="Calibri" w:cs="Calibri" w:eastAsia="Calibri" w:hAnsi="Calibri"/>
          <w:color w:val="5B6472"/>
          <w:sz w:val="15"/>
          <w:szCs w:val="15"/>
        </w:rPr>
        <w:t xml:space="preserve">	Skeleton</w:t>
      </w:r>
    </w:p>
    <w:p>
      <w:pPr>
        <w:tabs>
          <w:tab w:val="right" w:pos="9026" w:leader="dot"/>
        </w:tabs>
        <w:spacing w:after="20"/>
        <w:ind w:left="220"/>
      </w:pPr>
      <w:r>
        <w:rPr>
          <w:rFonts w:ascii="Georgia" w:cs="Georgia" w:eastAsia="Georgia" w:hAnsi="Georgia"/>
          <w:sz w:val="19"/>
          <w:szCs w:val="19"/>
        </w:rPr>
        <w:t xml:space="preserve">IV.8   Dividend Policy</w:t>
      </w:r>
      <w:r>
        <w:rPr>
          <w:rFonts w:ascii="Calibri" w:cs="Calibri" w:eastAsia="Calibri" w:hAnsi="Calibri"/>
          <w:color w:val="5B6472"/>
          <w:sz w:val="15"/>
          <w:szCs w:val="15"/>
        </w:rPr>
        <w:t xml:space="preserve">	Drafted</w:t>
      </w:r>
    </w:p>
    <w:p>
      <w:pPr>
        <w:spacing w:after="40" w:before="120"/>
      </w:pPr>
      <w:r>
        <w:rPr>
          <w:rFonts w:ascii="Calibri" w:cs="Calibri" w:eastAsia="Calibri" w:hAnsi="Calibri"/>
          <w:b/>
          <w:bCs/>
          <w:color w:val="1B2E4A"/>
          <w:sz w:val="18"/>
          <w:szCs w:val="18"/>
        </w:rPr>
        <w:t xml:space="preserve">Section V — Financial Information</w:t>
      </w:r>
    </w:p>
    <w:p>
      <w:pPr>
        <w:tabs>
          <w:tab w:val="right" w:pos="9026" w:leader="dot"/>
        </w:tabs>
        <w:spacing w:after="20"/>
        <w:ind w:left="220"/>
      </w:pPr>
      <w:r>
        <w:rPr>
          <w:rFonts w:ascii="Georgia" w:cs="Georgia" w:eastAsia="Georgia" w:hAnsi="Georgia"/>
          <w:sz w:val="19"/>
          <w:szCs w:val="19"/>
        </w:rPr>
        <w:t xml:space="preserve">V.1   Restated Financial Statements</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V.2   Management's Discussion and Analysis of Financial Condition and Results of Operations</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V.3   Financial Indebtedness</w:t>
      </w:r>
      <w:r>
        <w:rPr>
          <w:rFonts w:ascii="Calibri" w:cs="Calibri" w:eastAsia="Calibri" w:hAnsi="Calibri"/>
          <w:color w:val="5B6472"/>
          <w:sz w:val="15"/>
          <w:szCs w:val="15"/>
        </w:rPr>
        <w:t xml:space="preserve">	Skeleton</w:t>
      </w:r>
    </w:p>
    <w:p>
      <w:pPr>
        <w:spacing w:after="40" w:before="120"/>
      </w:pPr>
      <w:r>
        <w:rPr>
          <w:rFonts w:ascii="Calibri" w:cs="Calibri" w:eastAsia="Calibri" w:hAnsi="Calibri"/>
          <w:b/>
          <w:bCs/>
          <w:color w:val="1B2E4A"/>
          <w:sz w:val="18"/>
          <w:szCs w:val="18"/>
        </w:rPr>
        <w:t xml:space="preserve">Section VI — Legal and Other Information</w:t>
      </w:r>
    </w:p>
    <w:p>
      <w:pPr>
        <w:tabs>
          <w:tab w:val="right" w:pos="9026" w:leader="dot"/>
        </w:tabs>
        <w:spacing w:after="20"/>
        <w:ind w:left="220"/>
      </w:pPr>
      <w:r>
        <w:rPr>
          <w:rFonts w:ascii="Georgia" w:cs="Georgia" w:eastAsia="Georgia" w:hAnsi="Georgia"/>
          <w:sz w:val="19"/>
          <w:szCs w:val="19"/>
        </w:rPr>
        <w:t xml:space="preserve">VI.1   Outstanding Litigation and Material Developments</w:t>
      </w:r>
      <w:r>
        <w:rPr>
          <w:rFonts w:ascii="Calibri" w:cs="Calibri" w:eastAsia="Calibri" w:hAnsi="Calibri"/>
          <w:color w:val="5B6472"/>
          <w:sz w:val="15"/>
          <w:szCs w:val="15"/>
        </w:rPr>
        <w:t xml:space="preserve">	Partial</w:t>
      </w:r>
    </w:p>
    <w:p>
      <w:pPr>
        <w:tabs>
          <w:tab w:val="right" w:pos="9026" w:leader="dot"/>
        </w:tabs>
        <w:spacing w:after="20"/>
        <w:ind w:left="220"/>
      </w:pPr>
      <w:r>
        <w:rPr>
          <w:rFonts w:ascii="Georgia" w:cs="Georgia" w:eastAsia="Georgia" w:hAnsi="Georgia"/>
          <w:sz w:val="19"/>
          <w:szCs w:val="19"/>
        </w:rPr>
        <w:t xml:space="preserve">VI.2   Government and Other Approvals</w:t>
      </w:r>
      <w:r>
        <w:rPr>
          <w:rFonts w:ascii="Calibri" w:cs="Calibri" w:eastAsia="Calibri" w:hAnsi="Calibri"/>
          <w:color w:val="5B6472"/>
          <w:sz w:val="15"/>
          <w:szCs w:val="15"/>
        </w:rPr>
        <w:t xml:space="preserve">	Skeleton</w:t>
      </w:r>
    </w:p>
    <w:p>
      <w:pPr>
        <w:tabs>
          <w:tab w:val="right" w:pos="9026" w:leader="dot"/>
        </w:tabs>
        <w:spacing w:after="20"/>
        <w:ind w:left="220"/>
      </w:pPr>
      <w:r>
        <w:rPr>
          <w:rFonts w:ascii="Georgia" w:cs="Georgia" w:eastAsia="Georgia" w:hAnsi="Georgia"/>
          <w:sz w:val="19"/>
          <w:szCs w:val="19"/>
        </w:rPr>
        <w:t xml:space="preserve">VI.3   Other Regulatory and Statutory Disclosures</w:t>
      </w:r>
      <w:r>
        <w:rPr>
          <w:rFonts w:ascii="Calibri" w:cs="Calibri" w:eastAsia="Calibri" w:hAnsi="Calibri"/>
          <w:color w:val="5B6472"/>
          <w:sz w:val="15"/>
          <w:szCs w:val="15"/>
        </w:rPr>
        <w:t xml:space="preserve">	Drafted</w:t>
      </w:r>
    </w:p>
    <w:p>
      <w:pPr>
        <w:spacing w:after="40" w:before="120"/>
      </w:pPr>
      <w:r>
        <w:rPr>
          <w:rFonts w:ascii="Calibri" w:cs="Calibri" w:eastAsia="Calibri" w:hAnsi="Calibri"/>
          <w:b/>
          <w:bCs/>
          <w:color w:val="1B2E4A"/>
          <w:sz w:val="18"/>
          <w:szCs w:val="18"/>
        </w:rPr>
        <w:t xml:space="preserve">Section VII — Issue Related Information</w:t>
      </w:r>
    </w:p>
    <w:p>
      <w:pPr>
        <w:tabs>
          <w:tab w:val="right" w:pos="9026" w:leader="dot"/>
        </w:tabs>
        <w:spacing w:after="20"/>
        <w:ind w:left="220"/>
      </w:pPr>
      <w:r>
        <w:rPr>
          <w:rFonts w:ascii="Georgia" w:cs="Georgia" w:eastAsia="Georgia" w:hAnsi="Georgia"/>
          <w:sz w:val="19"/>
          <w:szCs w:val="19"/>
        </w:rPr>
        <w:t xml:space="preserve">VII.1   Terms of the Issue</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VII.2   Issue Structure</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VII.3   Issue Procedure</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VII.4   Restrictions on Foreign Ownership of Indian Securities</w:t>
      </w:r>
      <w:r>
        <w:rPr>
          <w:rFonts w:ascii="Calibri" w:cs="Calibri" w:eastAsia="Calibri" w:hAnsi="Calibri"/>
          <w:color w:val="5B6472"/>
          <w:sz w:val="15"/>
          <w:szCs w:val="15"/>
        </w:rPr>
        <w:t xml:space="preserve">	Drafted</w:t>
      </w:r>
    </w:p>
    <w:p>
      <w:pPr>
        <w:spacing w:after="40" w:before="120"/>
      </w:pPr>
      <w:r>
        <w:rPr>
          <w:rFonts w:ascii="Calibri" w:cs="Calibri" w:eastAsia="Calibri" w:hAnsi="Calibri"/>
          <w:b/>
          <w:bCs/>
          <w:color w:val="1B2E4A"/>
          <w:sz w:val="18"/>
          <w:szCs w:val="18"/>
        </w:rPr>
        <w:t xml:space="preserve">Section VIII — Main Provisions of the Articles of Association</w:t>
      </w:r>
    </w:p>
    <w:p>
      <w:pPr>
        <w:tabs>
          <w:tab w:val="right" w:pos="9026" w:leader="dot"/>
        </w:tabs>
        <w:spacing w:after="20"/>
        <w:ind w:left="220"/>
      </w:pPr>
      <w:r>
        <w:rPr>
          <w:rFonts w:ascii="Georgia" w:cs="Georgia" w:eastAsia="Georgia" w:hAnsi="Georgia"/>
          <w:sz w:val="19"/>
          <w:szCs w:val="19"/>
        </w:rPr>
        <w:t xml:space="preserve">VIII.1   Main Provisions of the Articles of Association</w:t>
      </w:r>
      <w:r>
        <w:rPr>
          <w:rFonts w:ascii="Calibri" w:cs="Calibri" w:eastAsia="Calibri" w:hAnsi="Calibri"/>
          <w:color w:val="5B6472"/>
          <w:sz w:val="15"/>
          <w:szCs w:val="15"/>
        </w:rPr>
        <w:t xml:space="preserve">	Partial</w:t>
      </w:r>
    </w:p>
    <w:p>
      <w:pPr>
        <w:spacing w:after="40" w:before="120"/>
      </w:pPr>
      <w:r>
        <w:rPr>
          <w:rFonts w:ascii="Calibri" w:cs="Calibri" w:eastAsia="Calibri" w:hAnsi="Calibri"/>
          <w:b/>
          <w:bCs/>
          <w:color w:val="1B2E4A"/>
          <w:sz w:val="18"/>
          <w:szCs w:val="18"/>
        </w:rPr>
        <w:t xml:space="preserve">Section IX — Other Information</w:t>
      </w:r>
    </w:p>
    <w:p>
      <w:pPr>
        <w:tabs>
          <w:tab w:val="right" w:pos="9026" w:leader="dot"/>
        </w:tabs>
        <w:spacing w:after="20"/>
        <w:ind w:left="220"/>
      </w:pPr>
      <w:r>
        <w:rPr>
          <w:rFonts w:ascii="Georgia" w:cs="Georgia" w:eastAsia="Georgia" w:hAnsi="Georgia"/>
          <w:sz w:val="19"/>
          <w:szCs w:val="19"/>
        </w:rPr>
        <w:t xml:space="preserve">IX.1   Material Contracts and Documents for Inspection</w:t>
      </w:r>
      <w:r>
        <w:rPr>
          <w:rFonts w:ascii="Calibri" w:cs="Calibri" w:eastAsia="Calibri" w:hAnsi="Calibri"/>
          <w:color w:val="5B6472"/>
          <w:sz w:val="15"/>
          <w:szCs w:val="15"/>
        </w:rPr>
        <w:t xml:space="preserve">	Drafted</w:t>
      </w:r>
    </w:p>
    <w:p>
      <w:pPr>
        <w:tabs>
          <w:tab w:val="right" w:pos="9026" w:leader="dot"/>
        </w:tabs>
        <w:spacing w:after="20"/>
        <w:ind w:left="220"/>
      </w:pPr>
      <w:r>
        <w:rPr>
          <w:rFonts w:ascii="Georgia" w:cs="Georgia" w:eastAsia="Georgia" w:hAnsi="Georgia"/>
          <w:sz w:val="19"/>
          <w:szCs w:val="19"/>
        </w:rPr>
        <w:t xml:space="preserve">IX.2   Declaration</w:t>
      </w:r>
      <w:r>
        <w:rPr>
          <w:rFonts w:ascii="Calibri" w:cs="Calibri" w:eastAsia="Calibri" w:hAnsi="Calibri"/>
          <w:color w:val="5B6472"/>
          <w:sz w:val="15"/>
          <w:szCs w:val="15"/>
        </w:rPr>
        <w:t xml:space="preserve">	Partial</w:t>
      </w:r>
    </w:p>
    <w:p>
      <w:r>
        <w:br w:type="page"/>
      </w:r>
    </w:p>
    <w:p>
      <w:pPr>
        <w:pBdr>
          <w:bottom w:val="single" w:color="1B2E4A" w:sz="18" w:space="4"/>
        </w:pBdr>
        <w:spacing w:after="120" w:before="240"/>
      </w:pPr>
      <w:r>
        <w:rPr>
          <w:rFonts w:ascii="Georgia" w:cs="Georgia" w:eastAsia="Georgia" w:hAnsi="Georgia"/>
          <w:b/>
          <w:bCs/>
          <w:caps/>
          <w:color w:val="1B2E4A"/>
          <w:sz w:val="28"/>
          <w:szCs w:val="28"/>
        </w:rPr>
        <w:t xml:space="preserve">Section I — General</w:t>
      </w:r>
    </w:p>
    <w:p>
      <w:pPr>
        <w:spacing w:after="40" w:before="200"/>
      </w:pPr>
      <w:r>
        <w:rPr>
          <w:rFonts w:ascii="Calibri" w:cs="Calibri" w:eastAsia="Calibri" w:hAnsi="Calibri"/>
          <w:b/>
          <w:bCs/>
          <w:color w:val="9C6B1E"/>
          <w:sz w:val="16"/>
          <w:szCs w:val="16"/>
        </w:rPr>
        <w:t xml:space="preserve">CHAPTER I.1</w:t>
      </w:r>
    </w:p>
    <w:p>
      <w:pPr>
        <w:spacing w:after="40"/>
      </w:pPr>
      <w:r>
        <w:rPr>
          <w:rFonts w:ascii="Georgia" w:cs="Georgia" w:eastAsia="Georgia" w:hAnsi="Georgia"/>
          <w:b/>
          <w:bCs/>
          <w:color w:val="1B2E4A"/>
          <w:sz w:val="26"/>
          <w:szCs w:val="26"/>
        </w:rPr>
        <w:t xml:space="preserve">Definitions and Abbreviations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R7.4</w:t>
      </w:r>
    </w:p>
    <w:p>
      <w:pPr>
        <w:spacing w:after="140" w:line="276"/>
        <w:jc w:val="both"/>
      </w:pPr>
      <w:r>
        <w:rPr>
          <w:rFonts w:ascii="Georgia" w:cs="Georgia" w:eastAsia="Georgia" w:hAnsi="Georgia"/>
          <w:sz w:val="21"/>
          <w:szCs w:val="21"/>
        </w:rPr>
        <w:t xml:space="preserve">In this Draft Red Herring Prospectus, unless the context otherwise indicates or implies, or unless otherwise specified, the terms and abbreviations set out below have the meanings given to them. References to statutes, rules, regulations, guidelines and policies are to those provisions as amended from time to time.</w:t>
      </w:r>
    </w:p>
    <w:p>
      <w:pPr>
        <w:spacing w:after="100" w:before="200"/>
      </w:pPr>
      <w:r>
        <w:rPr>
          <w:rFonts w:ascii="Georgia" w:cs="Georgia" w:eastAsia="Georgia" w:hAnsi="Georgia"/>
          <w:b/>
          <w:bCs/>
          <w:color w:val="1B2E4A"/>
          <w:sz w:val="24"/>
          <w:szCs w:val="24"/>
        </w:rPr>
        <w:t xml:space="preserve">Company-related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Term</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Description</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Company", "our Company", "the Issuer"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Himalayan Solar Limited, a public limited company incorporated under the Companies Act, having its registered office at SCO-411, 2nd Floor, Sector 20, Panchkula, Haryana 134117, India and Corporate Identification Number U40100HR2015PLC056609.</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"Promoters"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Mr. Manjeet Singh, Mrs. Karthiyani M, Mr. Himanshu Dalal, Mr. Mehtab Singh and Mrs. Anita Kumari, being the promoters of the Company within the meaning of the ICDR Regulations.</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"Board" or "Board of Directors"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board of directors of the Company, as constituted from time to time.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"Articles" or "AoA"</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Articles of Association of the Company, as amended.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"Memorandum" or "MOA"</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Memorandum of Association of the Company, as amended.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"Restated Financial Statements"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restated statement of assets and liabilities, statement of profit and loss and statement of cash flows of the Company for the financial years FY23, FY24, FY25, prepared in accordance with the Companies Act and the ICDR Regulations.</w:t>
            </w:r>
          </w:p>
        </w:tc>
      </w:tr>
    </w:tbl>
    <w:p>
      <w:pPr>
        <w:spacing w:after="80"/>
      </w:pPr>
    </w:p>
    <w:p>
      <w:pPr>
        <w:spacing w:after="100" w:before="200"/>
      </w:pPr>
      <w:r>
        <w:rPr>
          <w:rFonts w:ascii="Georgia" w:cs="Georgia" w:eastAsia="Georgia" w:hAnsi="Georgia"/>
          <w:b/>
          <w:bCs/>
          <w:color w:val="1B2E4A"/>
          <w:sz w:val="24"/>
          <w:szCs w:val="24"/>
        </w:rPr>
        <w:t xml:space="preserve">Issue-related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Term</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Description</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Issue"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initial public offering of 51,78,000 equity shares of face value INR 10 each of the Company, aggregating to INR [· to be supplied: issue size ·] crore.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"DRHP" or "this Draft Red Herring Prospectus"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This draft red herring prospectus, which does not contain complete particulars of the price at which the equity shares will be allotted.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"Lead Manager" or "LM"</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 to be supplied: lead manager ·].</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"Registrar to the Issue"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 to be supplied: registrar ·].</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"Market Maker"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 to be supplied: market maker ·], appointed to undertake market making in the equity shares in accordance with the ICDR Regulations.</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"Net Proceeds"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proceeds of the Issue less the Issue-related expenses, being INR [· to be supplied: net proceeds ·] crore.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"SME Platform"</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NSE Emerge, the platform of the stock exchange for listing of specified securities issued by small and medium enterprises.</w:t>
            </w:r>
          </w:p>
        </w:tc>
      </w:tr>
    </w:tbl>
    <w:p>
      <w:pPr>
        <w:spacing w:after="80"/>
      </w:pPr>
    </w:p>
    <w:p>
      <w:pPr>
        <w:spacing w:after="100" w:before="200"/>
      </w:pPr>
      <w:r>
        <w:rPr>
          <w:rFonts w:ascii="Georgia" w:cs="Georgia" w:eastAsia="Georgia" w:hAnsi="Georgia"/>
          <w:b/>
          <w:bCs/>
          <w:color w:val="1B2E4A"/>
          <w:sz w:val="24"/>
          <w:szCs w:val="24"/>
        </w:rPr>
        <w:t xml:space="preserve">Conventional and general terms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Term</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Description</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"ICDR Regulations"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Securities and Exchange Board of India (Issue of Capital and Disclosure Requirements) Regulations, 2018, as amended.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"Companies Act"</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Companies Act, 2013, together with the rules made thereunder, as amended.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"SEBI"</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Securities and Exchange Board of India, constituted under the Securities and Exchange Board of India Act, 1992.</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"LODR Regulations"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SEBI (Listing Obligations and Disclosure Requirements) Regulations, 2015, as amended.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"FEMA"</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Foreign Exchange Management Act, 1999, together with the rules and regulations made thereunder.</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"ASBA"</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Application Supported by Blocked Amount.</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"UPI"</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Unified Payments Interface.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"INR" or "Rs."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Indian Rupees, the lawful currency of the Republic of India.</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"FY"</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The financial year commencing on 1 April and ending on 31 March of the following year.</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"crore"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Ten million (1,00,00,000).</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"lakh"</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One hundred thousand (1,00,000).</w:t>
            </w:r>
          </w:p>
        </w:tc>
      </w:tr>
    </w:tbl>
    <w:p>
      <w:pPr>
        <w:spacing w:after="80"/>
      </w:pP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Industry and technical terms specific to the Solar and renewable energy equipment sector are to be added by the merchant banker following the technical review of the business chapter.</w:t>
      </w:r>
    </w:p>
    <w:p>
      <w:pPr>
        <w:spacing w:after="40" w:before="200"/>
      </w:pPr>
      <w:r>
        <w:rPr>
          <w:rFonts w:ascii="Calibri" w:cs="Calibri" w:eastAsia="Calibri" w:hAnsi="Calibri"/>
          <w:b/>
          <w:bCs/>
          <w:color w:val="9C6B1E"/>
          <w:sz w:val="16"/>
          <w:szCs w:val="16"/>
        </w:rPr>
        <w:t xml:space="preserve">CHAPTER I.2</w:t>
      </w:r>
    </w:p>
    <w:p>
      <w:pPr>
        <w:spacing w:after="40"/>
      </w:pPr>
      <w:r>
        <w:rPr>
          <w:rFonts w:ascii="Georgia" w:cs="Georgia" w:eastAsia="Georgia" w:hAnsi="Georgia"/>
          <w:b/>
          <w:bCs/>
          <w:color w:val="1B2E4A"/>
          <w:sz w:val="26"/>
          <w:szCs w:val="26"/>
        </w:rPr>
        <w:t xml:space="preserve">Presentation of Financial, Industry and Market Data</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R7.5</w:t>
      </w:r>
    </w:p>
    <w:p>
      <w:pPr>
        <w:spacing w:after="100" w:before="200"/>
      </w:pPr>
      <w:r>
        <w:rPr>
          <w:rFonts w:ascii="Georgia" w:cs="Georgia" w:eastAsia="Georgia" w:hAnsi="Georgia"/>
          <w:b/>
          <w:bCs/>
          <w:color w:val="1B2E4A"/>
          <w:sz w:val="24"/>
          <w:szCs w:val="24"/>
        </w:rPr>
        <w:t xml:space="preserve">Financial data</w:t>
      </w:r>
    </w:p>
    <w:p>
      <w:pPr>
        <w:spacing w:after="140" w:line="276"/>
        <w:jc w:val="both"/>
      </w:pPr>
      <w:r>
        <w:rPr>
          <w:rFonts w:ascii="Georgia" w:cs="Georgia" w:eastAsia="Georgia" w:hAnsi="Georgia"/>
          <w:sz w:val="21"/>
          <w:szCs w:val="21"/>
        </w:rPr>
        <w:t xml:space="preserve">Unless stated otherwise, the financial information in this Draft Red Herring Prospectus is derived from the Restated Financial Statements of the Company for the financial years FY23, FY24, FY25, prepared in accordance with the Companies Act and restated in accordance with the ICDR Regulations.</w:t>
      </w:r>
    </w:p>
    <w:p>
      <w:pPr>
        <w:spacing w:after="140" w:line="276"/>
        <w:jc w:val="both"/>
      </w:pPr>
      <w:r>
        <w:rPr>
          <w:rFonts w:ascii="Georgia" w:cs="Georgia" w:eastAsia="Georgia" w:hAnsi="Georgia"/>
          <w:sz w:val="21"/>
          <w:szCs w:val="21"/>
        </w:rPr>
        <w:t xml:space="preserve">The Company's financial year commences on 1 April and ends on 31 March of the succeeding year. References to a particular financial year are to the twelve-month period ended on 31 March of that year. All figures are presented in Indian Rupees. Figures expressed in crore represent ten million and figures expressed in lakh represent one hundred thousand.</w:t>
      </w:r>
    </w:p>
    <w:p>
      <w:pPr>
        <w:spacing w:after="140" w:line="276"/>
        <w:jc w:val="both"/>
      </w:pPr>
      <w:r>
        <w:rPr>
          <w:rFonts w:ascii="Georgia" w:cs="Georgia" w:eastAsia="Georgia" w:hAnsi="Georgia"/>
          <w:sz w:val="21"/>
          <w:szCs w:val="21"/>
        </w:rPr>
        <w:t xml:space="preserve">Certain figures have been subjected to rounding adjustments. Accordingly, figures shown as totals in certain tables may not be the exact arithmetic aggregation of the figures that precede them. All percentage figures have been calculated on the basis of unrounded amounts.</w:t>
      </w:r>
    </w:p>
    <w:p>
      <w:pPr>
        <w:spacing w:after="100" w:before="200"/>
      </w:pPr>
      <w:r>
        <w:rPr>
          <w:rFonts w:ascii="Georgia" w:cs="Georgia" w:eastAsia="Georgia" w:hAnsi="Georgia"/>
          <w:b/>
          <w:bCs/>
          <w:color w:val="1B2E4A"/>
          <w:sz w:val="24"/>
          <w:szCs w:val="24"/>
        </w:rPr>
        <w:t xml:space="preserve">Currency of presentation</w:t>
      </w:r>
    </w:p>
    <w:p>
      <w:pPr>
        <w:spacing w:after="140" w:line="276"/>
        <w:jc w:val="both"/>
      </w:pPr>
      <w:r>
        <w:rPr>
          <w:rFonts w:ascii="Georgia" w:cs="Georgia" w:eastAsia="Georgia" w:hAnsi="Georgia"/>
          <w:sz w:val="21"/>
          <w:szCs w:val="21"/>
        </w:rPr>
        <w:t xml:space="preserve">All references to "INR", "Rs." or "Rupees" are to Indian Rupees, the lawful currency of the Republic of India. The Company has presented all financial information in Indian Rupees.</w:t>
      </w:r>
    </w:p>
    <w:p>
      <w:pPr>
        <w:spacing w:after="100" w:before="200"/>
      </w:pPr>
      <w:r>
        <w:rPr>
          <w:rFonts w:ascii="Georgia" w:cs="Georgia" w:eastAsia="Georgia" w:hAnsi="Georgia"/>
          <w:b/>
          <w:bCs/>
          <w:color w:val="1B2E4A"/>
          <w:sz w:val="24"/>
          <w:szCs w:val="24"/>
        </w:rPr>
        <w:t xml:space="preserve">Industry and market data</w:t>
      </w:r>
    </w:p>
    <w:p>
      <w:pPr>
        <w:spacing w:after="140" w:line="276"/>
        <w:jc w:val="both"/>
      </w:pPr>
      <w:r>
        <w:rPr>
          <w:rFonts w:ascii="Georgia" w:cs="Georgia" w:eastAsia="Georgia" w:hAnsi="Georgia"/>
          <w:sz w:val="21"/>
          <w:szCs w:val="21"/>
        </w:rPr>
        <w:t xml:space="preserve">Industry and market data used in this Draft Red Herring Prospectus has been obtained from publicly available sources and from industry publications. Such data involves risks, assumptions and limitations, and has not been independently verified by the Company or by the Lead Manager. The data may be defined differently by different sources, and accordingly investors should not place undue reliance on it.</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merchant banker must attribute each industry statistic to a named, dated public source before this chapter is finalised. Statistics carried without attribution are a routine exchange observation.</w:t>
      </w:r>
    </w:p>
    <w:p>
      <w:pPr>
        <w:spacing w:after="40" w:before="200"/>
      </w:pPr>
      <w:r>
        <w:rPr>
          <w:rFonts w:ascii="Calibri" w:cs="Calibri" w:eastAsia="Calibri" w:hAnsi="Calibri"/>
          <w:b/>
          <w:bCs/>
          <w:color w:val="9C6B1E"/>
          <w:sz w:val="16"/>
          <w:szCs w:val="16"/>
        </w:rPr>
        <w:t xml:space="preserve">CHAPTER I.3</w:t>
      </w:r>
    </w:p>
    <w:p>
      <w:pPr>
        <w:spacing w:after="40"/>
      </w:pPr>
      <w:r>
        <w:rPr>
          <w:rFonts w:ascii="Georgia" w:cs="Georgia" w:eastAsia="Georgia" w:hAnsi="Georgia"/>
          <w:b/>
          <w:bCs/>
          <w:color w:val="1B2E4A"/>
          <w:sz w:val="26"/>
          <w:szCs w:val="26"/>
        </w:rPr>
        <w:t xml:space="preserve">Forward-Looking Statements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R7.6</w:t>
      </w:r>
    </w:p>
    <w:p>
      <w:pPr>
        <w:spacing w:after="140" w:line="276"/>
        <w:jc w:val="both"/>
      </w:pPr>
      <w:r>
        <w:rPr>
          <w:rFonts w:ascii="Georgia" w:cs="Georgia" w:eastAsia="Georgia" w:hAnsi="Georgia"/>
          <w:sz w:val="21"/>
          <w:szCs w:val="21"/>
        </w:rPr>
        <w:t xml:space="preserve">This Draft Red Herring Prospectus contains certain forward-looking statements. Statements that are not statements of historical fact, and which include words such as "anticipate", "believe", "expect", "estimate", "intend", "objective", "plan", "propose", "project", "seek", "will", "would" or other words or phrases of similar import, are forward-looking statements.</w:t>
      </w:r>
    </w:p>
    <w:p>
      <w:pPr>
        <w:spacing w:after="140" w:line="276"/>
        <w:jc w:val="both"/>
      </w:pPr>
      <w:r>
        <w:rPr>
          <w:rFonts w:ascii="Georgia" w:cs="Georgia" w:eastAsia="Georgia" w:hAnsi="Georgia"/>
          <w:sz w:val="21"/>
          <w:szCs w:val="21"/>
        </w:rPr>
        <w:t xml:space="preserve">All forward-looking statements are subject to risks, uncertainties and assumptions that could cause actual results to differ materially from those contemplated. Important factors that could cause such a difference include, but are not limited to, the Company's ability to retain its principal customers, movements in the price and availability of raw materials, the Company's ability to fund and commission the capital expenditure described under "Objects of the Issue", changes in the regulatory environment applicable to the Solar and renewable energy equipment sector, general economic and business conditions in India, and the other matters described under "Risk Factors".</w:t>
      </w:r>
    </w:p>
    <w:p>
      <w:pPr>
        <w:spacing w:after="140" w:line="276"/>
        <w:jc w:val="both"/>
      </w:pPr>
      <w:r>
        <w:rPr>
          <w:rFonts w:ascii="Georgia" w:cs="Georgia" w:eastAsia="Georgia" w:hAnsi="Georgia"/>
          <w:sz w:val="21"/>
          <w:szCs w:val="21"/>
        </w:rPr>
        <w:t xml:space="preserve">Forward-looking statements reflect the Company's current views as at the date of this Draft Red Herring Prospectus and are not a guarantee of future performance. Neither the Company, its Directors, the Lead Manager, nor any of their respective affiliates has any obligation to update or otherwise revise any forward-looking statement to reflect events or circumstances arising after the date of this document.</w:t>
      </w:r>
    </w:p>
    <w:p>
      <w:pPr>
        <w:spacing w:after="140" w:line="276"/>
        <w:jc w:val="both"/>
      </w:pPr>
      <w:r>
        <w:rPr>
          <w:rFonts w:ascii="Georgia" w:cs="Georgia" w:eastAsia="Georgia" w:hAnsi="Georgia"/>
          <w:sz w:val="21"/>
          <w:szCs w:val="21"/>
        </w:rPr>
        <w:t xml:space="preserve">In accordance with the requirements of SEBI and the SME Platform, the Company and the Lead Manager will ensure that investors are informed of material developments from the date of this Draft Red Herring Prospectus until the date of allotment.</w:t>
      </w:r>
    </w:p>
    <w:p>
      <w:pPr>
        <w:pBdr>
          <w:bottom w:val="single" w:color="1B2E4A" w:sz="18" w:space="4"/>
        </w:pBdr>
        <w:spacing w:after="120" w:before="240"/>
      </w:pPr>
      <w:r>
        <w:rPr>
          <w:rFonts w:ascii="Georgia" w:cs="Georgia" w:eastAsia="Georgia" w:hAnsi="Georgia"/>
          <w:b/>
          <w:bCs/>
          <w:caps/>
          <w:color w:val="1B2E4A"/>
          <w:sz w:val="28"/>
          <w:szCs w:val="28"/>
        </w:rPr>
        <w:t xml:space="preserve">Section II — Risk Factors</w:t>
      </w:r>
    </w:p>
    <w:p>
      <w:pPr>
        <w:spacing w:after="40" w:before="200"/>
      </w:pPr>
      <w:r>
        <w:rPr>
          <w:rFonts w:ascii="Calibri" w:cs="Calibri" w:eastAsia="Calibri" w:hAnsi="Calibri"/>
          <w:b/>
          <w:bCs/>
          <w:color w:val="9C6B1E"/>
          <w:sz w:val="16"/>
          <w:szCs w:val="16"/>
        </w:rPr>
        <w:t xml:space="preserve">CHAPTER II.1</w:t>
      </w:r>
    </w:p>
    <w:p>
      <w:pPr>
        <w:spacing w:after="40"/>
      </w:pPr>
      <w:r>
        <w:rPr>
          <w:rFonts w:ascii="Georgia" w:cs="Georgia" w:eastAsia="Georgia" w:hAnsi="Georgia"/>
          <w:b/>
          <w:bCs/>
          <w:color w:val="1B2E4A"/>
          <w:sz w:val="26"/>
          <w:szCs w:val="26"/>
        </w:rPr>
        <w:t xml:space="preserve">Risk Factors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R3.1, R3.2, R3.3, R3.4, R3.5</w:t>
      </w:r>
    </w:p>
    <w:p>
      <w:pPr>
        <w:spacing w:after="140" w:line="276"/>
        <w:jc w:val="both"/>
      </w:pPr>
      <w:r>
        <w:rPr>
          <w:rFonts w:ascii="Georgia" w:cs="Georgia" w:eastAsia="Georgia" w:hAnsi="Georgia"/>
          <w:sz w:val="21"/>
          <w:szCs w:val="21"/>
        </w:rPr>
        <w:t xml:space="preserve">An investment in equity shares involves a high degree of risk. Investors should carefully consider all the information in this Draft Red Herring Prospectus, including the risks and uncertainties described below, together with the Restated Financial Statements, before making an investment decision. If any of the following risks, or other risks that are not currently known or are currently deemed immaterial, actually occur, the business, results of operations, cash flows and financial condition of the Company could be materially and adversely affected, the trading price of the equity shares could decline, and investors may lose all or part of their investment. The risks below are not exhaustive and are not set out in any order of priority or of the magnitude of their potential impact.</w:t>
      </w:r>
    </w:p>
    <w:p>
      <w:pPr>
        <w:spacing w:after="100" w:before="200"/>
      </w:pPr>
      <w:r>
        <w:rPr>
          <w:rFonts w:ascii="Georgia" w:cs="Georgia" w:eastAsia="Georgia" w:hAnsi="Georgia"/>
          <w:b/>
          <w:bCs/>
          <w:color w:val="1B2E4A"/>
          <w:sz w:val="24"/>
          <w:szCs w:val="24"/>
        </w:rPr>
        <w:t xml:space="preserve">Internal risk factors</w:t>
      </w:r>
    </w:p>
    <w:p>
      <w:pPr>
        <w:spacing w:after="140" w:line="276"/>
        <w:jc w:val="both"/>
      </w:pPr>
      <w:r>
        <w:rPr>
          <w:rFonts w:ascii="Georgia" w:cs="Georgia" w:eastAsia="Georgia" w:hAnsi="Georgia"/>
          <w:sz w:val="21"/>
          <w:szCs w:val="21"/>
        </w:rPr>
        <w:t xml:space="preserve">1. The Company derives a substantial proportion of its revenue from a limited number of customers. Its five largest customers are [· to be supplied: top customers ·] The loss of any of these customers, a reduction in the volume of orders placed by them, a renegotiation of commercial terms, or a delay or default in payment by them, could materially and adversely affect the Company's revenue, profitability and cash flows. The Company does not have committed offtake arrangements that guarantee minimum volumes over the life of its supply relationships.</w:t>
      </w:r>
    </w:p>
    <w:p>
      <w:pPr>
        <w:spacing w:after="140" w:line="276"/>
        <w:jc w:val="both"/>
      </w:pPr>
      <w:r>
        <w:rPr>
          <w:rFonts w:ascii="Georgia" w:cs="Georgia" w:eastAsia="Georgia" w:hAnsi="Georgia"/>
          <w:sz w:val="21"/>
          <w:szCs w:val="21"/>
        </w:rPr>
        <w:t xml:space="preserve">2. The Company is dependent on a limited supplier base and on the price of its principal raw materials. [· to be supplied: suppliers ·] An interruption in supply, a deterioration in the commercial terms available to the Company, or a sustained increase in input prices that the Company is unable to pass on to customers under its existing pricing arrangements, would compress margins and adversely affect results of operations.</w:t>
      </w:r>
    </w:p>
    <w:p>
      <w:pPr>
        <w:spacing w:after="140" w:line="276"/>
        <w:jc w:val="both"/>
      </w:pPr>
      <w:r>
        <w:rPr>
          <w:rFonts w:ascii="Georgia" w:cs="Georgia" w:eastAsia="Georgia" w:hAnsi="Georgia"/>
          <w:sz w:val="21"/>
          <w:szCs w:val="21"/>
        </w:rPr>
        <w:t xml:space="preserve">3. The Company's operations are working-capital intensive and its operating cash flow has been lower than its reported profit. Revenue from operations for the latest financial year was INR 142.44 crore and profit after tax was INR 15.85 crore, while net cash generated from operating activities was INR [· to be supplied: cashFlowLatest ·] crore. Any extension of customer credit periods, build-up of inventory, or delay in collections could constrain liquidity and increase the Company's reliance on borrowed funds.</w:t>
      </w:r>
    </w:p>
    <w:p>
      <w:pPr>
        <w:spacing w:after="140" w:line="276"/>
        <w:jc w:val="both"/>
      </w:pPr>
      <w:r>
        <w:rPr>
          <w:rFonts w:ascii="Georgia" w:cs="Georgia" w:eastAsia="Georgia" w:hAnsi="Georgia"/>
          <w:sz w:val="21"/>
          <w:szCs w:val="21"/>
        </w:rPr>
        <w:t xml:space="preserve">5. A portion of the Net Proceeds is to be applied to capital expenditure that has not yet been incurred, and the Company has not entered into definitive arrangements for its entire proposed deployment. The proposed deployment described under "Objects of the Issue" is based on management estimates and has not been appraised by any bank or financial institution. Cost overruns, delays in commissioning, or a failure to secure the volumes assumed for the additional capacity could mean that the expected benefits of the expansion are not realised.</w:t>
      </w:r>
    </w:p>
    <w:p>
      <w:pPr>
        <w:spacing w:after="140" w:line="276"/>
        <w:jc w:val="both"/>
      </w:pPr>
      <w:r>
        <w:rPr>
          <w:rFonts w:ascii="Georgia" w:cs="Georgia" w:eastAsia="Georgia" w:hAnsi="Georgia"/>
          <w:sz w:val="21"/>
          <w:szCs w:val="21"/>
        </w:rPr>
        <w:t xml:space="preserve">9. The Company depends on its promoters and a small senior management team. Mr. Manjeet Singh, Mrs. Karthiyani M, Mr. Himanshu Dalal, Mr. Mehtab Singh and Mrs. Anita Kumari have led the Company's operations and hold key customer and supplier relationships. The loss of the services of the promoters or of other key managerial personnel, or an inability to attract and retain qualified personnel, could adversely affect the Company's ability to operate and to execute its stated strategy.</w:t>
      </w:r>
    </w:p>
    <w:p>
      <w:pPr>
        <w:spacing w:after="100" w:before="200"/>
      </w:pPr>
      <w:r>
        <w:rPr>
          <w:rFonts w:ascii="Georgia" w:cs="Georgia" w:eastAsia="Georgia" w:hAnsi="Georgia"/>
          <w:b/>
          <w:bCs/>
          <w:color w:val="1B2E4A"/>
          <w:sz w:val="24"/>
          <w:szCs w:val="24"/>
        </w:rPr>
        <w:t xml:space="preserve">External and industry risk factors</w:t>
      </w:r>
    </w:p>
    <w:p>
      <w:pPr>
        <w:spacing w:after="140" w:line="276"/>
        <w:jc w:val="both"/>
      </w:pPr>
      <w:r>
        <w:rPr>
          <w:rFonts w:ascii="Georgia" w:cs="Georgia" w:eastAsia="Georgia" w:hAnsi="Georgia"/>
          <w:sz w:val="21"/>
          <w:szCs w:val="21"/>
        </w:rPr>
        <w:t xml:space="preserve">10. The Company operates in the Solar and renewable energy equipment sector and its performance is linked to conditions in that sector and in the broader economy. A slowdown in end-user demand, changes in customer production plans, technological change affecting the Company's products, or the entry of competitors with greater financial or technical resources, could reduce the Company's volumes and pricing. The Company competes with both organised and unorganised participants, some of whom may accept lower margins.</w:t>
      </w:r>
    </w:p>
    <w:p>
      <w:pPr>
        <w:spacing w:after="140" w:line="276"/>
        <w:jc w:val="both"/>
      </w:pPr>
      <w:r>
        <w:rPr>
          <w:rFonts w:ascii="Georgia" w:cs="Georgia" w:eastAsia="Georgia" w:hAnsi="Georgia"/>
          <w:sz w:val="21"/>
          <w:szCs w:val="21"/>
        </w:rPr>
        <w:t xml:space="preserve">11. The Company's operations are subject to extensive regulation and require statutory approvals which must be maintained and periodically renewed. [· to be supplied: approvals ·] The failure to obtain, maintain or renew any material approval, or a change in the applicable regulatory regime including in environmental, labour or taxation law, could interrupt operations or increase the Company's cost of compliance.</w:t>
      </w:r>
    </w:p>
    <w:p>
      <w:pPr>
        <w:spacing w:after="100" w:before="200"/>
      </w:pPr>
      <w:r>
        <w:rPr>
          <w:rFonts w:ascii="Georgia" w:cs="Georgia" w:eastAsia="Georgia" w:hAnsi="Georgia"/>
          <w:b/>
          <w:bCs/>
          <w:color w:val="1B2E4A"/>
          <w:sz w:val="24"/>
          <w:szCs w:val="24"/>
        </w:rPr>
        <w:t xml:space="preserve">Issue-related risk factors</w:t>
      </w:r>
    </w:p>
    <w:p>
      <w:pPr>
        <w:spacing w:after="140" w:line="276"/>
        <w:jc w:val="both"/>
      </w:pPr>
      <w:r>
        <w:rPr>
          <w:rFonts w:ascii="Georgia" w:cs="Georgia" w:eastAsia="Georgia" w:hAnsi="Georgia"/>
          <w:sz w:val="21"/>
          <w:szCs w:val="21"/>
        </w:rPr>
        <w:t xml:space="preserve">12. There has been no public market for the equity shares and an active or sustained trading market may not develop. The equity shares are proposed to be listed on NSE Emerge. Securities listed on the SME platform are typically less liquid than securities listed on the main board, are traded in specified lot sizes, and may exhibit greater price volatility. Investors may be unable to sell the equity shares at or above the Issue price, or at all.</w:t>
      </w:r>
    </w:p>
    <w:p>
      <w:pPr>
        <w:spacing w:after="140" w:line="276"/>
        <w:jc w:val="both"/>
      </w:pPr>
      <w:r>
        <w:rPr>
          <w:rFonts w:ascii="Georgia" w:cs="Georgia" w:eastAsia="Georgia" w:hAnsi="Georgia"/>
          <w:sz w:val="21"/>
          <w:szCs w:val="21"/>
        </w:rPr>
        <w:t xml:space="preserve">13. The Issue price is not indicative of the market price of the equity shares after the Issue. The Issue price of [· to be supplied: price band ·] has been determined by the Company in consultation with the Lead Manager on the basis of the factors described under "Basis for Issue Price", and should not be taken to be indicative of the market price of the equity shares after listing. The market price may be affected by the Company's results, conditions in the Solar and renewable energy equipment sector, and general market conditions, and may decline below the Issue price.</w:t>
      </w:r>
    </w:p>
    <w:p>
      <w:pPr>
        <w:spacing w:after="140" w:line="276"/>
        <w:jc w:val="both"/>
      </w:pPr>
      <w:r>
        <w:rPr>
          <w:rFonts w:ascii="Georgia" w:cs="Georgia" w:eastAsia="Georgia" w:hAnsi="Georgia"/>
          <w:sz w:val="21"/>
          <w:szCs w:val="21"/>
        </w:rPr>
        <w:t xml:space="preserve">14. The Company's ability to pay dividends in the future will depend on its earnings, capital requirements and financing arrangements. [· to be supplied: dividend history ·] The Company intends to retain earnings to fund the expansion described under "Objects of the Issue", and there is no assurance that it will declare dividends in any future period.</w:t>
      </w:r>
    </w:p>
    <w:p>
      <w:pPr>
        <w:pBdr>
          <w:bottom w:val="single" w:color="1B2E4A" w:sz="18" w:space="4"/>
        </w:pBdr>
        <w:spacing w:after="120" w:before="240"/>
      </w:pPr>
      <w:r>
        <w:rPr>
          <w:rFonts w:ascii="Georgia" w:cs="Georgia" w:eastAsia="Georgia" w:hAnsi="Georgia"/>
          <w:b/>
          <w:bCs/>
          <w:caps/>
          <w:color w:val="1B2E4A"/>
          <w:sz w:val="28"/>
          <w:szCs w:val="28"/>
        </w:rPr>
        <w:t xml:space="preserve">Section III — Introduction</w:t>
      </w:r>
    </w:p>
    <w:p>
      <w:pPr>
        <w:spacing w:after="40" w:before="200"/>
      </w:pPr>
      <w:r>
        <w:rPr>
          <w:rFonts w:ascii="Calibri" w:cs="Calibri" w:eastAsia="Calibri" w:hAnsi="Calibri"/>
          <w:b/>
          <w:bCs/>
          <w:color w:val="9C6B1E"/>
          <w:sz w:val="16"/>
          <w:szCs w:val="16"/>
        </w:rPr>
        <w:t xml:space="preserve">CHAPTER III.1</w:t>
      </w:r>
    </w:p>
    <w:p>
      <w:pPr>
        <w:spacing w:after="40"/>
      </w:pPr>
      <w:r>
        <w:rPr>
          <w:rFonts w:ascii="Georgia" w:cs="Georgia" w:eastAsia="Georgia" w:hAnsi="Georgia"/>
          <w:b/>
          <w:bCs/>
          <w:color w:val="1B2E4A"/>
          <w:sz w:val="26"/>
          <w:szCs w:val="26"/>
        </w:rPr>
        <w:t xml:space="preserve">The Issue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R5.2, R5.6, R8.1</w:t>
      </w:r>
    </w:p>
    <w:p>
      <w:pPr>
        <w:spacing w:after="80" w:before="120"/>
      </w:pPr>
      <w:r>
        <w:rPr>
          <w:rFonts w:ascii="Calibri" w:cs="Calibri" w:eastAsia="Calibri" w:hAnsi="Calibri"/>
          <w:b/>
          <w:bCs/>
          <w:caps/>
          <w:color w:val="1B2E4A"/>
          <w:sz w:val="18"/>
          <w:szCs w:val="18"/>
        </w:rPr>
        <w:t xml:space="preserve">The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Particulars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Details</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Issue of equity shares by the Company (fresh issue)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51,78,000 equity shares of face value INR 10 each, aggregating to INR — crore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Of which: Market Maker reservation portion</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0 equity shares</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Net Issue to the public</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51,78,000 equity shares</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Equity shares outstanding after the Issue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51,78,000 equity shares</w:t>
            </w:r>
          </w:p>
        </w:tc>
      </w:tr>
    </w:tbl>
    <w:p>
      <w:pPr>
        <w:spacing w:after="80"/>
      </w:pPr>
    </w:p>
    <w:p>
      <w:pPr>
        <w:spacing w:after="140" w:line="276"/>
        <w:jc w:val="both"/>
      </w:pPr>
      <w:r>
        <w:rPr>
          <w:rFonts w:ascii="Georgia" w:cs="Georgia" w:eastAsia="Georgia" w:hAnsi="Georgia"/>
          <w:sz w:val="21"/>
          <w:szCs w:val="21"/>
        </w:rPr>
        <w:t xml:space="preserve">The Issue is a Fresh issue and offer for sale, 100% book built and is being made in accordance with Chapter IX of the ICDR Regulations, which governs the issue of specified securities by small and medium enterprises. The equity shares are proposed to be listed on NSE Emerge. The Issue has been authorised by the Board of Directors and by a special resolution of the shareholders of the Company.</w:t>
      </w:r>
    </w:p>
    <w:p>
      <w:pPr>
        <w:spacing w:after="40" w:before="200"/>
      </w:pPr>
      <w:r>
        <w:rPr>
          <w:rFonts w:ascii="Calibri" w:cs="Calibri" w:eastAsia="Calibri" w:hAnsi="Calibri"/>
          <w:b/>
          <w:bCs/>
          <w:color w:val="9C6B1E"/>
          <w:sz w:val="16"/>
          <w:szCs w:val="16"/>
        </w:rPr>
        <w:t xml:space="preserve">CHAPTER III.2</w:t>
      </w:r>
    </w:p>
    <w:p>
      <w:pPr>
        <w:spacing w:after="40"/>
      </w:pPr>
      <w:r>
        <w:rPr>
          <w:rFonts w:ascii="Georgia" w:cs="Georgia" w:eastAsia="Georgia" w:hAnsi="Georgia"/>
          <w:b/>
          <w:bCs/>
          <w:color w:val="1B2E4A"/>
          <w:sz w:val="26"/>
          <w:szCs w:val="26"/>
        </w:rPr>
        <w:t xml:space="preserve">Summary of Financial Information</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R4.1</w:t>
      </w:r>
    </w:p>
    <w:p>
      <w:pPr>
        <w:spacing w:after="140" w:line="276"/>
        <w:jc w:val="both"/>
      </w:pPr>
      <w:r>
        <w:rPr>
          <w:rFonts w:ascii="Georgia" w:cs="Georgia" w:eastAsia="Georgia" w:hAnsi="Georgia"/>
          <w:sz w:val="21"/>
          <w:szCs w:val="21"/>
        </w:rPr>
        <w:t xml:space="preserve">The summary financial information set out below has been extracted from the Restated Financial Statements of the Company for the financial years FY23, FY24, FY25. It should be read together with the chapter “Restated Financial Statements” and the chapter “Management's Discussion and Analysis of Financial Condition and Results of Operations”.</w:t>
      </w:r>
    </w:p>
    <w:p>
      <w:pPr>
        <w:spacing w:after="80" w:before="120"/>
      </w:pPr>
      <w:r>
        <w:rPr>
          <w:rFonts w:ascii="Calibri" w:cs="Calibri" w:eastAsia="Calibri" w:hAnsi="Calibri"/>
          <w:b/>
          <w:bCs/>
          <w:caps/>
          <w:color w:val="1B2E4A"/>
          <w:sz w:val="18"/>
          <w:szCs w:val="18"/>
        </w:rPr>
        <w:t xml:space="preserve">Summary of financial information (INR in crore)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Particulars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FY23</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FY24</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FY25</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Revenue from operations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47.59</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138.32</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142.44</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Profit after tax</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0.58</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4.94</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15.85</w:t>
            </w:r>
          </w:p>
        </w:tc>
      </w:tr>
    </w:tbl>
    <w:p>
      <w:pPr>
        <w:spacing w:after="80"/>
      </w:pPr>
    </w:p>
    <w:p>
      <w:pPr>
        <w:spacing w:after="80" w:before="120"/>
      </w:pPr>
      <w:r>
        <w:rPr>
          <w:rFonts w:ascii="Calibri" w:cs="Calibri" w:eastAsia="Calibri" w:hAnsi="Calibri"/>
          <w:b/>
          <w:bCs/>
          <w:caps/>
          <w:color w:val="1B2E4A"/>
          <w:sz w:val="18"/>
          <w:szCs w:val="18"/>
        </w:rPr>
        <w:t xml:space="preserve">Key accounting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Ratio</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FY25</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Basic earnings per equity share (INR)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9.77</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Diluted earnings per equity share (INR)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9.77</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Revenue compound annual growth rate (FY23, FY24, FY25)</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73.00%</w:t>
            </w:r>
          </w:p>
        </w:tc>
      </w:tr>
    </w:tbl>
    <w:p>
      <w:pPr>
        <w:spacing w:after="80"/>
      </w:pPr>
    </w:p>
    <w:p>
      <w:pPr>
        <w:spacing w:after="40" w:before="200"/>
      </w:pPr>
      <w:r>
        <w:rPr>
          <w:rFonts w:ascii="Calibri" w:cs="Calibri" w:eastAsia="Calibri" w:hAnsi="Calibri"/>
          <w:b/>
          <w:bCs/>
          <w:color w:val="9C6B1E"/>
          <w:sz w:val="16"/>
          <w:szCs w:val="16"/>
        </w:rPr>
        <w:t xml:space="preserve">CHAPTER III.3</w:t>
      </w:r>
    </w:p>
    <w:p>
      <w:pPr>
        <w:spacing w:after="40"/>
      </w:pPr>
      <w:r>
        <w:rPr>
          <w:rFonts w:ascii="Georgia" w:cs="Georgia" w:eastAsia="Georgia" w:hAnsi="Georgia"/>
          <w:b/>
          <w:bCs/>
          <w:color w:val="1B2E4A"/>
          <w:sz w:val="26"/>
          <w:szCs w:val="26"/>
        </w:rPr>
        <w:t xml:space="preserve">General Information</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R1.1, R1.3, R1.4, R8.5</w:t>
      </w:r>
    </w:p>
    <w:p>
      <w:pPr>
        <w:spacing w:after="100" w:before="200"/>
      </w:pPr>
      <w:r>
        <w:rPr>
          <w:rFonts w:ascii="Georgia" w:cs="Georgia" w:eastAsia="Georgia" w:hAnsi="Georgia"/>
          <w:b/>
          <w:bCs/>
          <w:color w:val="1B2E4A"/>
          <w:sz w:val="24"/>
          <w:szCs w:val="24"/>
        </w:rPr>
        <w:t xml:space="preserve">The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Particulars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Details</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Name of the Company</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Himalayan Solar Limited</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Corporate Identification Number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U40100HR2015PLC056609</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Date of incorporation</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8 September 2015</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Place of incorporation</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Haryana</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Registered office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SCO-411, 2nd Floor, Sector 20, Panchkula, Haryana 134117, India</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Corporate office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SCO-411, 2nd Floor, Sector 20, Panchkula, Haryana 134117, India</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Telephone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+91 7087117405</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Email</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cs@himalayansolar.co.in</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Website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www.himalayansolar.co.in</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Company Secretary and Compliance Officer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Mrs. Navkiran Kaur, Company Secretary and Compliance Officer</w:t>
            </w:r>
          </w:p>
        </w:tc>
      </w:tr>
    </w:tbl>
    <w:p>
      <w:pPr>
        <w:spacing w:after="80"/>
      </w:pPr>
    </w:p>
    <w:p>
      <w:pPr>
        <w:spacing w:after="100" w:before="200"/>
      </w:pPr>
      <w:r>
        <w:rPr>
          <w:rFonts w:ascii="Georgia" w:cs="Georgia" w:eastAsia="Georgia" w:hAnsi="Georgia"/>
          <w:b/>
          <w:bCs/>
          <w:color w:val="1B2E4A"/>
          <w:sz w:val="24"/>
          <w:szCs w:val="24"/>
        </w:rPr>
        <w:t xml:space="preserve">Intermediaries to the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Capacity</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Name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Statutory auditor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M/s. Himanshu Mohta &amp; Associates, Chartered Accountants (Peer Review Auditor)</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Listing platform</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NSE Emerge</w:t>
            </w:r>
          </w:p>
        </w:tc>
      </w:tr>
    </w:tbl>
    <w:p>
      <w:pPr>
        <w:spacing w:after="80"/>
      </w:pP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the remaining intermediaries and advisors to the Issue.</w:t>
      </w:r>
    </w:p>
    <w:p>
      <w:pPr>
        <w:spacing w:after="40"/>
        <w:ind w:left="460"/>
      </w:pPr>
      <w:r>
        <w:rPr>
          <w:rFonts w:ascii="Calibri" w:cs="Calibri" w:eastAsia="Calibri" w:hAnsi="Calibri"/>
          <w:color w:val="5B6472"/>
          <w:sz w:val="17"/>
          <w:szCs w:val="17"/>
        </w:rPr>
        <w:t xml:space="preserve">–  Legal advisor to the Issue — name, address, contact and SEBI registration number</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registered address, telephone, email, website, contact person and SEBI registration number of every intermediary named above must be inserted, together with the details of the self-certified syndicate banks and the sponsor bank, before this chapter is finalised.</w:t>
      </w:r>
    </w:p>
    <w:p>
      <w:pPr>
        <w:spacing w:after="40" w:before="200"/>
      </w:pPr>
      <w:r>
        <w:rPr>
          <w:rFonts w:ascii="Calibri" w:cs="Calibri" w:eastAsia="Calibri" w:hAnsi="Calibri"/>
          <w:b/>
          <w:bCs/>
          <w:color w:val="9C6B1E"/>
          <w:sz w:val="16"/>
          <w:szCs w:val="16"/>
        </w:rPr>
        <w:t xml:space="preserve">CHAPTER III.4</w:t>
      </w:r>
    </w:p>
    <w:p>
      <w:pPr>
        <w:spacing w:after="40"/>
      </w:pPr>
      <w:r>
        <w:rPr>
          <w:rFonts w:ascii="Georgia" w:cs="Georgia" w:eastAsia="Georgia" w:hAnsi="Georgia"/>
          <w:b/>
          <w:bCs/>
          <w:color w:val="1B2E4A"/>
          <w:sz w:val="26"/>
          <w:szCs w:val="26"/>
        </w:rPr>
        <w:t xml:space="preserve">Capital Structure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R5.1, R5.2, R12.2</w:t>
      </w:r>
    </w:p>
    <w:p>
      <w:pPr>
        <w:spacing w:after="100" w:before="200"/>
      </w:pPr>
      <w:r>
        <w:rPr>
          <w:rFonts w:ascii="Georgia" w:cs="Georgia" w:eastAsia="Georgia" w:hAnsi="Georgia"/>
          <w:b/>
          <w:bCs/>
          <w:color w:val="1B2E4A"/>
          <w:sz w:val="24"/>
          <w:szCs w:val="24"/>
        </w:rPr>
        <w:t xml:space="preserve">Share capital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Particulars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Aggregate value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Present Issue in terms of this Draft Red Herring Prospectus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51,78,000 equity shares of face value INR 10 each</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Issued, subscribed and paid-up share capital after the Issue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51,78,000 equity shares of face value INR 10 each</w:t>
            </w:r>
          </w:p>
        </w:tc>
      </w:tr>
    </w:tbl>
    <w:p>
      <w:pPr>
        <w:spacing w:after="80"/>
      </w:pPr>
    </w:p>
    <w:p>
      <w:pPr>
        <w:spacing w:after="100" w:before="200"/>
      </w:pPr>
      <w:r>
        <w:rPr>
          <w:rFonts w:ascii="Georgia" w:cs="Georgia" w:eastAsia="Georgia" w:hAnsi="Georgia"/>
          <w:b/>
          <w:bCs/>
          <w:color w:val="1B2E4A"/>
          <w:sz w:val="24"/>
          <w:szCs w:val="24"/>
        </w:rPr>
        <w:t xml:space="preserve">History of the equity share capital of the Company</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History of the equity share capital build-up of the Company.</w:t>
      </w:r>
    </w:p>
    <w:p>
      <w:pPr>
        <w:spacing w:after="40"/>
        <w:ind w:left="460"/>
      </w:pPr>
      <w:r>
        <w:rPr>
          <w:rFonts w:ascii="Calibri" w:cs="Calibri" w:eastAsia="Calibri" w:hAnsi="Calibri"/>
          <w:color w:val="5B6472"/>
          <w:sz w:val="17"/>
          <w:szCs w:val="17"/>
        </w:rPr>
        <w:t xml:space="preserve">–  Date of each allotment since incorporation</w:t>
      </w:r>
    </w:p>
    <w:p>
      <w:pPr>
        <w:spacing w:after="40"/>
        <w:ind w:left="460"/>
      </w:pPr>
      <w:r>
        <w:rPr>
          <w:rFonts w:ascii="Calibri" w:cs="Calibri" w:eastAsia="Calibri" w:hAnsi="Calibri"/>
          <w:color w:val="5B6472"/>
          <w:sz w:val="17"/>
          <w:szCs w:val="17"/>
        </w:rPr>
        <w:t xml:space="preserve">–  Number of equity shares allotted, face value and issue price</w:t>
      </w:r>
    </w:p>
    <w:p>
      <w:pPr>
        <w:spacing w:after="40"/>
        <w:ind w:left="460"/>
      </w:pPr>
      <w:r>
        <w:rPr>
          <w:rFonts w:ascii="Calibri" w:cs="Calibri" w:eastAsia="Calibri" w:hAnsi="Calibri"/>
          <w:color w:val="5B6472"/>
          <w:sz w:val="17"/>
          <w:szCs w:val="17"/>
        </w:rPr>
        <w:t xml:space="preserve">–  Nature and consideration for each allotment</w:t>
      </w:r>
    </w:p>
    <w:p>
      <w:pPr>
        <w:spacing w:after="100" w:before="200"/>
      </w:pPr>
      <w:r>
        <w:rPr>
          <w:rFonts w:ascii="Georgia" w:cs="Georgia" w:eastAsia="Georgia" w:hAnsi="Georgia"/>
          <w:b/>
          <w:bCs/>
          <w:color w:val="1B2E4A"/>
          <w:sz w:val="24"/>
          <w:szCs w:val="24"/>
        </w:rPr>
        <w:t xml:space="preserve">Shareholding pattern of the Company</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Shareholding pattern of the Company before and after the Issue.</w:t>
      </w:r>
    </w:p>
    <w:p>
      <w:pPr>
        <w:spacing w:after="40"/>
        <w:ind w:left="460"/>
      </w:pPr>
      <w:r>
        <w:rPr>
          <w:rFonts w:ascii="Calibri" w:cs="Calibri" w:eastAsia="Calibri" w:hAnsi="Calibri"/>
          <w:color w:val="5B6472"/>
          <w:sz w:val="17"/>
          <w:szCs w:val="17"/>
        </w:rPr>
        <w:t xml:space="preserve">–  Name, category and holding of every shareholder before the Issue</w:t>
      </w:r>
    </w:p>
    <w:p>
      <w:pPr>
        <w:spacing w:after="40"/>
        <w:ind w:left="460"/>
      </w:pPr>
      <w:r>
        <w:rPr>
          <w:rFonts w:ascii="Calibri" w:cs="Calibri" w:eastAsia="Calibri" w:hAnsi="Calibri"/>
          <w:color w:val="5B6472"/>
          <w:sz w:val="17"/>
          <w:szCs w:val="17"/>
        </w:rPr>
        <w:t xml:space="preserve">–  Promoter and promoter-group holdings identified separately</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Minimum promoter contribution and the lock-in applicable to the pre-Issue capital under the ICDR Regulations must be computed, disclosed in this chapter and confirmed by the depository before filing. Drafter does not compute lock-in because it depends on the date and consideration of each allotment as verified in due diligence.</w:t>
      </w:r>
    </w:p>
    <w:p>
      <w:pPr>
        <w:spacing w:after="40" w:before="200"/>
      </w:pPr>
      <w:r>
        <w:rPr>
          <w:rFonts w:ascii="Calibri" w:cs="Calibri" w:eastAsia="Calibri" w:hAnsi="Calibri"/>
          <w:b/>
          <w:bCs/>
          <w:color w:val="9C6B1E"/>
          <w:sz w:val="16"/>
          <w:szCs w:val="16"/>
        </w:rPr>
        <w:t xml:space="preserve">CHAPTER III.5</w:t>
      </w:r>
    </w:p>
    <w:p>
      <w:pPr>
        <w:spacing w:after="40"/>
      </w:pPr>
      <w:r>
        <w:rPr>
          <w:rFonts w:ascii="Georgia" w:cs="Georgia" w:eastAsia="Georgia" w:hAnsi="Georgia"/>
          <w:b/>
          <w:bCs/>
          <w:color w:val="1B2E4A"/>
          <w:sz w:val="26"/>
          <w:szCs w:val="26"/>
        </w:rPr>
        <w:t xml:space="preserve">Objects of the Issue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R5.3, R5.4, R5.5</w:t>
      </w:r>
    </w:p>
    <w:p>
      <w:pPr>
        <w:spacing w:after="140" w:line="276"/>
        <w:jc w:val="both"/>
      </w:pPr>
      <w:r>
        <w:rPr>
          <w:rFonts w:ascii="Georgia" w:cs="Georgia" w:eastAsia="Georgia" w:hAnsi="Georgia"/>
          <w:sz w:val="21"/>
          <w:szCs w:val="21"/>
        </w:rPr>
        <w:t xml:space="preserve">The Company proposes to utilise the Net Proceeds of the Issue towards the objects set out below. The Company confirms that the objects of the Issue are within the main objects set out in its Memorandum of Association. The proposed deployment has been estimated by management and has not been appraised by any bank or financial institution.</w:t>
      </w:r>
    </w:p>
    <w:p>
      <w:pPr>
        <w:spacing w:after="80" w:before="120"/>
      </w:pPr>
      <w:r>
        <w:rPr>
          <w:rFonts w:ascii="Calibri" w:cs="Calibri" w:eastAsia="Calibri" w:hAnsi="Calibri"/>
          <w:b/>
          <w:bCs/>
          <w:caps/>
          <w:color w:val="1B2E4A"/>
          <w:sz w:val="18"/>
          <w:szCs w:val="18"/>
        </w:rPr>
        <w:t xml:space="preserve">Objects of the Issue and utilisation of Net Proceeds (INR in crore)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No.</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Object</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Amount</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 of Net Proceeds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Proposed deployment</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1</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Funding capital expenditure for expansion and upgradation of the existing manufacturing facility</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12.98</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2</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Meeting incremental working capital requirements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24.59</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3</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Repayment or pre-payment, in full or in part, of certain outstanding borrowings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2.60</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w:t>
            </w:r>
          </w:p>
        </w:tc>
      </w:tr>
      <w:tr>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left"/>
            </w:pPr>
            <w:r>
              <w:rPr>
                <w:rFonts w:ascii="Georgia" w:cs="Georgia" w:eastAsia="Georgia" w:hAnsi="Georgia"/>
                <w:b/>
                <w:bCs/>
                <w:sz w:val="18"/>
                <w:szCs w:val="18"/>
              </w:rPr>
              <w:t xml:space="preserve"/>
            </w:r>
          </w:p>
        </w:tc>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left"/>
            </w:pPr>
            <w:r>
              <w:rPr>
                <w:rFonts w:ascii="Georgia" w:cs="Georgia" w:eastAsia="Georgia" w:hAnsi="Georgia"/>
                <w:b/>
                <w:bCs/>
                <w:sz w:val="18"/>
                <w:szCs w:val="18"/>
              </w:rPr>
              <w:t xml:space="preserve">Total</w:t>
            </w:r>
          </w:p>
        </w:tc>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right"/>
            </w:pPr>
            <w:r>
              <w:rPr>
                <w:rFonts w:ascii="Georgia" w:cs="Georgia" w:eastAsia="Georgia" w:hAnsi="Georgia"/>
                <w:b/>
                <w:bCs/>
                <w:sz w:val="18"/>
                <w:szCs w:val="18"/>
              </w:rPr>
              <w:t xml:space="preserve">40.17</w:t>
            </w:r>
          </w:p>
        </w:tc>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right"/>
            </w:pPr>
            <w:r>
              <w:rPr>
                <w:rFonts w:ascii="Georgia" w:cs="Georgia" w:eastAsia="Georgia" w:hAnsi="Georgia"/>
                <w:b/>
                <w:bCs/>
                <w:sz w:val="18"/>
                <w:szCs w:val="18"/>
              </w:rPr>
              <w:t xml:space="preserve">—</w:t>
            </w:r>
          </w:p>
        </w:tc>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left"/>
            </w:pPr>
            <w:r>
              <w:rPr>
                <w:rFonts w:ascii="Georgia" w:cs="Georgia" w:eastAsia="Georgia" w:hAnsi="Georgia"/>
                <w:b/>
                <w:bCs/>
                <w:sz w:val="18"/>
                <w:szCs w:val="18"/>
              </w:rPr>
              <w:t xml:space="preserve"/>
            </w:r>
          </w:p>
        </w:tc>
      </w:tr>
    </w:tbl>
    <w:p>
      <w:pPr>
        <w:spacing w:after="120" w:before="60"/>
      </w:pPr>
      <w:r>
        <w:rPr>
          <w:rFonts w:ascii="Calibri" w:cs="Calibri" w:eastAsia="Calibri" w:hAnsi="Calibri"/>
          <w:i/>
          <w:iCs/>
          <w:color w:val="5B6472"/>
          <w:sz w:val="16"/>
          <w:szCs w:val="16"/>
        </w:rPr>
        <w:t xml:space="preserve">The aggregate of the objects set out above is INR 40.17 crore against Net Proceeds of INR 0.00 crore, leaving INR 40.17 crore over-allocated. This difference requires resolution before filing.</w:t>
      </w:r>
    </w:p>
    <w:p>
      <w:pPr>
        <w:spacing w:after="80"/>
      </w:pP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Quotations or estimates supporting each item of capital expenditure, the means of finance for the balance requirement, the working-capital computation supporting the working-capital object, the bridge financing position, and the monitoring arrangements for the deployment of Net Proceeds must be inserted and verified before filing. General corporate purposes are subject to the cap prescribed under the ICDR Regulations.</w:t>
      </w:r>
    </w:p>
    <w:p>
      <w:pPr>
        <w:spacing w:after="40" w:before="200"/>
      </w:pPr>
      <w:r>
        <w:rPr>
          <w:rFonts w:ascii="Calibri" w:cs="Calibri" w:eastAsia="Calibri" w:hAnsi="Calibri"/>
          <w:b/>
          <w:bCs/>
          <w:color w:val="9C6B1E"/>
          <w:sz w:val="16"/>
          <w:szCs w:val="16"/>
        </w:rPr>
        <w:t xml:space="preserve">CHAPTER III.6</w:t>
      </w:r>
    </w:p>
    <w:p>
      <w:pPr>
        <w:spacing w:after="40"/>
      </w:pPr>
      <w:r>
        <w:rPr>
          <w:rFonts w:ascii="Georgia" w:cs="Georgia" w:eastAsia="Georgia" w:hAnsi="Georgia"/>
          <w:b/>
          <w:bCs/>
          <w:color w:val="1B2E4A"/>
          <w:sz w:val="26"/>
          <w:szCs w:val="26"/>
        </w:rPr>
        <w:t xml:space="preserve">Basis for Issue Price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R4.2, R9.1, R9.2, R9.3</w:t>
      </w:r>
    </w:p>
    <w:p>
      <w:pPr>
        <w:spacing w:after="140" w:line="276"/>
        <w:jc w:val="both"/>
      </w:pPr>
      <w:r>
        <w:rPr>
          <w:rFonts w:ascii="Georgia" w:cs="Georgia" w:eastAsia="Georgia" w:hAnsi="Georgia"/>
          <w:sz w:val="21"/>
          <w:szCs w:val="21"/>
        </w:rPr>
        <w:t xml:space="preserve">The Issue price of [·] has been determined by the Company in consultation with the Lead Manager on the basis of an assessment of the qualitative and quantitative factors set out below. The face value of the equity shares is INR 10 each and the Issue price is [·] times the face value at the upper end of the band. Investors should read this chapter together with “Risk Factors”, “Our Business” and the Restated Financial Statements.</w:t>
      </w:r>
    </w:p>
    <w:p>
      <w:pPr>
        <w:spacing w:after="100" w:before="200"/>
      </w:pPr>
      <w:r>
        <w:rPr>
          <w:rFonts w:ascii="Georgia" w:cs="Georgia" w:eastAsia="Georgia" w:hAnsi="Georgia"/>
          <w:b/>
          <w:bCs/>
          <w:color w:val="1B2E4A"/>
          <w:sz w:val="24"/>
          <w:szCs w:val="24"/>
        </w:rPr>
        <w:t xml:space="preserve">Qualitative factors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Qualitative factors supporting the Issue price.</w:t>
      </w:r>
    </w:p>
    <w:p>
      <w:pPr>
        <w:spacing w:after="40"/>
        <w:ind w:left="460"/>
      </w:pPr>
      <w:r>
        <w:rPr>
          <w:rFonts w:ascii="Calibri" w:cs="Calibri" w:eastAsia="Calibri" w:hAnsi="Calibri"/>
          <w:color w:val="5B6472"/>
          <w:sz w:val="17"/>
          <w:szCs w:val="17"/>
        </w:rPr>
        <w:t xml:space="preserve">–  The Company's competitive strengths, as described in the chapter 'Our Business'</w:t>
      </w:r>
    </w:p>
    <w:p>
      <w:pPr>
        <w:spacing w:after="100" w:before="200"/>
      </w:pPr>
      <w:r>
        <w:rPr>
          <w:rFonts w:ascii="Georgia" w:cs="Georgia" w:eastAsia="Georgia" w:hAnsi="Georgia"/>
          <w:b/>
          <w:bCs/>
          <w:color w:val="1B2E4A"/>
          <w:sz w:val="24"/>
          <w:szCs w:val="24"/>
        </w:rPr>
        <w:t xml:space="preserve">Quantitative factors</w:t>
      </w:r>
    </w:p>
    <w:p>
      <w:pPr>
        <w:spacing w:after="80" w:before="120"/>
      </w:pPr>
      <w:r>
        <w:rPr>
          <w:rFonts w:ascii="Calibri" w:cs="Calibri" w:eastAsia="Calibri" w:hAnsi="Calibri"/>
          <w:b/>
          <w:bCs/>
          <w:caps/>
          <w:color w:val="1B2E4A"/>
          <w:sz w:val="18"/>
          <w:szCs w:val="18"/>
        </w:rPr>
        <w:t xml:space="preserve">Quantitative factors (based on the Restated Financial Statements for FY25)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Particulars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Value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Basic earnings per equity share (INR)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9.77</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Diluted earnings per equity share (INR)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9.77</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Price to earnings ratio at the floor price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0.00</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Price to earnings ratio at the cap price</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0.00</w:t>
            </w:r>
          </w:p>
        </w:tc>
      </w:tr>
    </w:tbl>
    <w:p>
      <w:pPr>
        <w:spacing w:after="120" w:before="60"/>
      </w:pPr>
      <w:r>
        <w:rPr>
          <w:rFonts w:ascii="Calibri" w:cs="Calibri" w:eastAsia="Calibri" w:hAnsi="Calibri"/>
          <w:i/>
          <w:iCs/>
          <w:color w:val="5B6472"/>
          <w:sz w:val="16"/>
          <w:szCs w:val="16"/>
        </w:rPr>
        <w:t xml:space="preserve">The price to earnings ratios above are computed on the basic earnings per share of INR 9.77 for FY25 and the floor and cap of the price band.</w:t>
      </w:r>
    </w:p>
    <w:p>
      <w:pPr>
        <w:spacing w:after="80"/>
      </w:pPr>
    </w:p>
    <w:p>
      <w:pPr>
        <w:spacing w:after="100" w:before="200"/>
      </w:pPr>
      <w:r>
        <w:rPr>
          <w:rFonts w:ascii="Georgia" w:cs="Georgia" w:eastAsia="Georgia" w:hAnsi="Georgia"/>
          <w:b/>
          <w:bCs/>
          <w:color w:val="1B2E4A"/>
          <w:sz w:val="24"/>
          <w:szCs w:val="24"/>
        </w:rPr>
        <w:t xml:space="preserve">Comparison with listed industry peers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Comparison of the Company's accounting ratios with those of listed industry peers, or a statement that no directly comparable listed peer exists.</w:t>
      </w:r>
    </w:p>
    <w:p>
      <w:pPr>
        <w:spacing w:after="40"/>
        <w:ind w:left="460"/>
      </w:pPr>
      <w:r>
        <w:rPr>
          <w:rFonts w:ascii="Calibri" w:cs="Calibri" w:eastAsia="Calibri" w:hAnsi="Calibri"/>
          <w:color w:val="5B6472"/>
          <w:sz w:val="17"/>
          <w:szCs w:val="17"/>
        </w:rPr>
        <w:t xml:space="preserve">–  Name of each listed peer, with the source and date of the peer's financial information</w:t>
      </w:r>
    </w:p>
    <w:p>
      <w:pPr>
        <w:spacing w:after="40"/>
        <w:ind w:left="460"/>
      </w:pPr>
      <w:r>
        <w:rPr>
          <w:rFonts w:ascii="Calibri" w:cs="Calibri" w:eastAsia="Calibri" w:hAnsi="Calibri"/>
          <w:color w:val="5B6472"/>
          <w:sz w:val="17"/>
          <w:szCs w:val="17"/>
        </w:rPr>
        <w:t xml:space="preserve">–  Peer earnings per share, price to earnings ratio, return on net worth and net asset value</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Weighted average earnings per share across the three restated years, the return on net worth for each year, the net asset value before and after the Issue, and the peer set with sources must be tabulated in the form prescribed by Schedule VI before filing.</w:t>
      </w:r>
    </w:p>
    <w:p>
      <w:pPr>
        <w:spacing w:after="40" w:before="200"/>
      </w:pPr>
      <w:r>
        <w:rPr>
          <w:rFonts w:ascii="Calibri" w:cs="Calibri" w:eastAsia="Calibri" w:hAnsi="Calibri"/>
          <w:b/>
          <w:bCs/>
          <w:color w:val="9C6B1E"/>
          <w:sz w:val="16"/>
          <w:szCs w:val="16"/>
        </w:rPr>
        <w:t xml:space="preserve">CHAPTER III.7</w:t>
      </w:r>
    </w:p>
    <w:p>
      <w:pPr>
        <w:spacing w:after="40"/>
      </w:pPr>
      <w:r>
        <w:rPr>
          <w:rFonts w:ascii="Georgia" w:cs="Georgia" w:eastAsia="Georgia" w:hAnsi="Georgia"/>
          <w:b/>
          <w:bCs/>
          <w:color w:val="1B2E4A"/>
          <w:sz w:val="26"/>
          <w:szCs w:val="26"/>
        </w:rPr>
        <w:t xml:space="preserve">Statement of Special Tax Benefits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R13.2</w:t>
      </w:r>
    </w:p>
    <w:p>
      <w:pPr>
        <w:spacing w:after="140" w:line="276"/>
        <w:jc w:val="both"/>
      </w:pPr>
      <w:r>
        <w:rPr>
          <w:rFonts w:ascii="Georgia" w:cs="Georgia" w:eastAsia="Georgia" w:hAnsi="Georgia"/>
          <w:sz w:val="21"/>
          <w:szCs w:val="21"/>
        </w:rPr>
        <w:t xml:space="preserve">The Company has been advised that, under the Income-tax Act, 1961 and other applicable tax laws presently in force in India, the Company and its shareholders may be entitled to certain tax benefits. The statement of such benefits is required to be certified by the statutory auditor of the Company and annexed to this Draft Red Herring Prospectus.</w:t>
      </w:r>
    </w:p>
    <w:p>
      <w:pPr>
        <w:spacing w:after="140" w:line="276"/>
        <w:jc w:val="both"/>
      </w:pPr>
      <w:r>
        <w:rPr>
          <w:rFonts w:ascii="Georgia" w:cs="Georgia" w:eastAsia="Georgia" w:hAnsi="Georgia"/>
          <w:sz w:val="21"/>
          <w:szCs w:val="21"/>
        </w:rPr>
        <w:t xml:space="preserve">The benefits available under the applicable tax laws are dependent on the Company and its shareholders fulfilling the conditions prescribed under the relevant provisions. The statement is neither exhaustive nor conclusive, and is not intended to be, nor should it be construed as, advice on any tax matter. Investors are advised to consult their own tax advisers with respect to the tax consequences of an investment in the equity shares, having regard to their particular circumstances.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Statement of special tax benefits available to the Company and its shareholders, certified by the statutory auditor.</w:t>
      </w:r>
    </w:p>
    <w:p>
      <w:pPr>
        <w:spacing w:after="40"/>
        <w:ind w:left="460"/>
      </w:pPr>
      <w:r>
        <w:rPr>
          <w:rFonts w:ascii="Calibri" w:cs="Calibri" w:eastAsia="Calibri" w:hAnsi="Calibri"/>
          <w:color w:val="5B6472"/>
          <w:sz w:val="17"/>
          <w:szCs w:val="17"/>
        </w:rPr>
        <w:t xml:space="preserve">–  Certificate from the statutory auditor setting out the special tax benefits available to the Company</w:t>
      </w:r>
    </w:p>
    <w:p>
      <w:pPr>
        <w:spacing w:after="40"/>
        <w:ind w:left="460"/>
      </w:pPr>
      <w:r>
        <w:rPr>
          <w:rFonts w:ascii="Calibri" w:cs="Calibri" w:eastAsia="Calibri" w:hAnsi="Calibri"/>
          <w:color w:val="5B6472"/>
          <w:sz w:val="17"/>
          <w:szCs w:val="17"/>
        </w:rPr>
        <w:t xml:space="preserve">–  Certificate setting out the special tax benefits available to shareholders</w:t>
      </w:r>
    </w:p>
    <w:p>
      <w:pPr>
        <w:spacing w:after="40"/>
        <w:ind w:left="460"/>
      </w:pPr>
      <w:r>
        <w:rPr>
          <w:rFonts w:ascii="Calibri" w:cs="Calibri" w:eastAsia="Calibri" w:hAnsi="Calibri"/>
          <w:color w:val="5B6472"/>
          <w:sz w:val="17"/>
          <w:szCs w:val="17"/>
        </w:rPr>
        <w:t xml:space="preserve">–  Date of the auditor's certificate and the auditor's consent to its inclusion</w:t>
      </w:r>
    </w:p>
    <w:p>
      <w:pPr>
        <w:pBdr>
          <w:bottom w:val="single" w:color="1B2E4A" w:sz="18" w:space="4"/>
        </w:pBdr>
        <w:spacing w:after="120" w:before="240"/>
      </w:pPr>
      <w:r>
        <w:rPr>
          <w:rFonts w:ascii="Georgia" w:cs="Georgia" w:eastAsia="Georgia" w:hAnsi="Georgia"/>
          <w:b/>
          <w:bCs/>
          <w:caps/>
          <w:color w:val="1B2E4A"/>
          <w:sz w:val="28"/>
          <w:szCs w:val="28"/>
        </w:rPr>
        <w:t xml:space="preserve">Section IV — About the Company</w:t>
      </w:r>
    </w:p>
    <w:p>
      <w:pPr>
        <w:spacing w:after="40" w:before="200"/>
      </w:pPr>
      <w:r>
        <w:rPr>
          <w:rFonts w:ascii="Calibri" w:cs="Calibri" w:eastAsia="Calibri" w:hAnsi="Calibri"/>
          <w:b/>
          <w:bCs/>
          <w:color w:val="9C6B1E"/>
          <w:sz w:val="16"/>
          <w:szCs w:val="16"/>
        </w:rPr>
        <w:t xml:space="preserve">CHAPTER IV.1</w:t>
      </w:r>
    </w:p>
    <w:p>
      <w:pPr>
        <w:spacing w:after="40"/>
      </w:pPr>
      <w:r>
        <w:rPr>
          <w:rFonts w:ascii="Georgia" w:cs="Georgia" w:eastAsia="Georgia" w:hAnsi="Georgia"/>
          <w:b/>
          <w:bCs/>
          <w:color w:val="1B2E4A"/>
          <w:sz w:val="26"/>
          <w:szCs w:val="26"/>
        </w:rPr>
        <w:t xml:space="preserve">Industry Overview</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R2.2</w:t>
      </w:r>
    </w:p>
    <w:p>
      <w:pPr>
        <w:spacing w:after="100" w:before="200"/>
      </w:pPr>
      <w:r>
        <w:rPr>
          <w:rFonts w:ascii="Georgia" w:cs="Georgia" w:eastAsia="Georgia" w:hAnsi="Georgia"/>
          <w:b/>
          <w:bCs/>
          <w:color w:val="1B2E4A"/>
          <w:sz w:val="24"/>
          <w:szCs w:val="24"/>
        </w:rPr>
        <w:t xml:space="preserve">Overview of the Solar and renewable energy equipment sector</w:t>
      </w:r>
    </w:p>
    <w:p>
      <w:pPr>
        <w:spacing w:after="140" w:line="276"/>
        <w:jc w:val="both"/>
      </w:pPr>
      <w:r>
        <w:rPr>
          <w:rFonts w:ascii="Georgia" w:cs="Georgia" w:eastAsia="Georgia" w:hAnsi="Georgia"/>
          <w:sz w:val="21"/>
          <w:szCs w:val="21"/>
        </w:rPr>
        <w:t xml:space="preserve">[· to be supplied: industry overview ·]</w:t>
      </w:r>
    </w:p>
    <w:p>
      <w:pPr>
        <w:spacing w:after="100" w:before="200"/>
      </w:pPr>
      <w:r>
        <w:rPr>
          <w:rFonts w:ascii="Georgia" w:cs="Georgia" w:eastAsia="Georgia" w:hAnsi="Georgia"/>
          <w:b/>
          <w:bCs/>
          <w:color w:val="1B2E4A"/>
          <w:sz w:val="24"/>
          <w:szCs w:val="24"/>
        </w:rPr>
        <w:t xml:space="preserve">The Company's position within the industry</w:t>
      </w:r>
    </w:p>
    <w:p>
      <w:pPr>
        <w:spacing w:after="140" w:line="276"/>
        <w:jc w:val="both"/>
      </w:pPr>
      <w:r>
        <w:rPr>
          <w:rFonts w:ascii="Georgia" w:cs="Georgia" w:eastAsia="Georgia" w:hAnsi="Georgia"/>
          <w:sz w:val="21"/>
          <w:szCs w:val="21"/>
        </w:rPr>
        <w:t xml:space="preserve">The Company participates in this industry as a supplier of the products described under "Our Business". Solar photovoltaic modules and allied renewable energy equipment, together with engineering, procurement and construction services for solar installations. Its position rests on the following attributes: [· to be supplied: competitive strengths ·]</w:t>
      </w:r>
    </w:p>
    <w:p>
      <w:pPr>
        <w:spacing w:after="140" w:line="276"/>
        <w:jc w:val="both"/>
      </w:pPr>
      <w:r>
        <w:rPr>
          <w:rFonts w:ascii="Georgia" w:cs="Georgia" w:eastAsia="Georgia" w:hAnsi="Georgia"/>
          <w:sz w:val="21"/>
          <w:szCs w:val="21"/>
        </w:rPr>
        <w:t xml:space="preserve">The Company's customer profile is described under "Our Business" and is concentrated among a limited number of counterparties. The Company competes with other participants in its segment on the basis of quality system certification, delivery reliability, technical support and price. Investors should read this chapter together with "Risk Factors" and "Management's Discussion and Analysis of Financial Condition and Results of Operations".</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Market size, growth rates, segment shares and any ranking of the Company against its competitors must be sourced from a named, dated industry publication and attributed in this chapter before it is finalised. Drafter does not generate industry statistics because they cannot be derived from issuer data, and unattributed statistics are a routine cause of exchange observations.</w:t>
      </w:r>
    </w:p>
    <w:p>
      <w:pPr>
        <w:spacing w:after="40" w:before="200"/>
      </w:pPr>
      <w:r>
        <w:rPr>
          <w:rFonts w:ascii="Calibri" w:cs="Calibri" w:eastAsia="Calibri" w:hAnsi="Calibri"/>
          <w:b/>
          <w:bCs/>
          <w:color w:val="9C6B1E"/>
          <w:sz w:val="16"/>
          <w:szCs w:val="16"/>
        </w:rPr>
        <w:t xml:space="preserve">CHAPTER IV.2</w:t>
      </w:r>
    </w:p>
    <w:p>
      <w:pPr>
        <w:spacing w:after="40"/>
      </w:pPr>
      <w:r>
        <w:rPr>
          <w:rFonts w:ascii="Georgia" w:cs="Georgia" w:eastAsia="Georgia" w:hAnsi="Georgia"/>
          <w:b/>
          <w:bCs/>
          <w:color w:val="1B2E4A"/>
          <w:sz w:val="26"/>
          <w:szCs w:val="26"/>
        </w:rPr>
        <w:t xml:space="preserve">Our Business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R2.1, R2.3, R2.4, R2.5, R2.6</w:t>
      </w:r>
    </w:p>
    <w:p>
      <w:pPr>
        <w:spacing w:after="100" w:before="200"/>
      </w:pPr>
      <w:r>
        <w:rPr>
          <w:rFonts w:ascii="Georgia" w:cs="Georgia" w:eastAsia="Georgia" w:hAnsi="Georgia"/>
          <w:b/>
          <w:bCs/>
          <w:color w:val="1B2E4A"/>
          <w:sz w:val="24"/>
          <w:szCs w:val="24"/>
        </w:rPr>
        <w:t xml:space="preserve">Overview</w:t>
      </w:r>
    </w:p>
    <w:p>
      <w:pPr>
        <w:spacing w:after="140" w:line="276"/>
        <w:jc w:val="both"/>
      </w:pPr>
      <w:r>
        <w:rPr>
          <w:rFonts w:ascii="Georgia" w:cs="Georgia" w:eastAsia="Georgia" w:hAnsi="Georgia"/>
          <w:sz w:val="21"/>
          <w:szCs w:val="21"/>
        </w:rPr>
        <w:t xml:space="preserve">Himalayan Solar Limited was originally incorporated as a private limited company in Haryana in September 2015 and was converted into a public limited company in November 2024. The Company operates in the solar and renewable energy equipment sector.</w:t>
      </w:r>
    </w:p>
    <w:p>
      <w:pPr>
        <w:spacing w:after="100" w:before="200"/>
      </w:pPr>
      <w:r>
        <w:rPr>
          <w:rFonts w:ascii="Georgia" w:cs="Georgia" w:eastAsia="Georgia" w:hAnsi="Georgia"/>
          <w:b/>
          <w:bCs/>
          <w:color w:val="1B2E4A"/>
          <w:sz w:val="24"/>
          <w:szCs w:val="24"/>
        </w:rPr>
        <w:t xml:space="preserve">Our products and services</w:t>
      </w:r>
    </w:p>
    <w:p>
      <w:pPr>
        <w:spacing w:after="140" w:line="276"/>
        <w:jc w:val="both"/>
      </w:pPr>
      <w:r>
        <w:rPr>
          <w:rFonts w:ascii="Georgia" w:cs="Georgia" w:eastAsia="Georgia" w:hAnsi="Georgia"/>
          <w:sz w:val="21"/>
          <w:szCs w:val="21"/>
        </w:rPr>
        <w:t xml:space="preserve">Solar photovoltaic modules and allied renewable energy equipment, together with engineering, procurement and construction services for solar installations.</w:t>
      </w:r>
    </w:p>
    <w:p>
      <w:pPr>
        <w:spacing w:after="100" w:before="200"/>
      </w:pPr>
      <w:r>
        <w:rPr>
          <w:rFonts w:ascii="Georgia" w:cs="Georgia" w:eastAsia="Georgia" w:hAnsi="Georgia"/>
          <w:b/>
          <w:bCs/>
          <w:color w:val="1B2E4A"/>
          <w:sz w:val="24"/>
          <w:szCs w:val="24"/>
        </w:rPr>
        <w:t xml:space="preserve">Our revenue model</w:t>
      </w:r>
    </w:p>
    <w:p>
      <w:pPr>
        <w:spacing w:after="140" w:line="276"/>
        <w:jc w:val="both"/>
      </w:pPr>
      <w:r>
        <w:rPr>
          <w:rFonts w:ascii="Georgia" w:cs="Georgia" w:eastAsia="Georgia" w:hAnsi="Georgia"/>
          <w:sz w:val="21"/>
          <w:szCs w:val="21"/>
        </w:rPr>
        <w:t xml:space="preserve">Revenue is earned from the manufacture and supply of solar modules and equipment and from engineering, procurement and construction contracts. Revenue from operations for FY25 was INR 142.44 crore, as stated by the Company. Investors should read this together with the Restated Financial Statements set out in this Draft Red Herring Prospectus.</w:t>
      </w:r>
    </w:p>
    <w:p>
      <w:pPr>
        <w:spacing w:after="100" w:before="200"/>
      </w:pPr>
      <w:r>
        <w:rPr>
          <w:rFonts w:ascii="Georgia" w:cs="Georgia" w:eastAsia="Georgia" w:hAnsi="Georgia"/>
          <w:b/>
          <w:bCs/>
          <w:color w:val="1B2E4A"/>
          <w:sz w:val="24"/>
          <w:szCs w:val="24"/>
        </w:rPr>
        <w:t xml:space="preserve">Our operations and capacity</w:t>
      </w:r>
    </w:p>
    <w:p>
      <w:pPr>
        <w:spacing w:after="100" w:before="200"/>
      </w:pPr>
      <w:r>
        <w:rPr>
          <w:rFonts w:ascii="Georgia" w:cs="Georgia" w:eastAsia="Georgia" w:hAnsi="Georgia"/>
          <w:b/>
          <w:bCs/>
          <w:color w:val="1B2E4A"/>
          <w:sz w:val="24"/>
          <w:szCs w:val="24"/>
        </w:rPr>
        <w:t xml:space="preserve">Our customers</w:t>
      </w:r>
    </w:p>
    <w:p>
      <w:pPr>
        <w:spacing w:after="140" w:line="276"/>
        <w:jc w:val="both"/>
      </w:pPr>
      <w:r>
        <w:rPr>
          <w:rFonts w:ascii="Georgia" w:cs="Georgia" w:eastAsia="Georgia" w:hAnsi="Georgia"/>
          <w:sz w:val="21"/>
          <w:szCs w:val="21"/>
        </w:rPr>
        <w:t xml:space="preserve">The Company's revenue is concentrated among a limited number of customers. Its five largest customers, and the proportion of revenue attributable to each, are: [· to be supplied: top customers ·] The concentration of revenue among these customers is described as a risk factor under "Risk Factors".</w:t>
      </w:r>
    </w:p>
    <w:p>
      <w:pPr>
        <w:spacing w:after="100" w:before="200"/>
      </w:pPr>
      <w:r>
        <w:rPr>
          <w:rFonts w:ascii="Georgia" w:cs="Georgia" w:eastAsia="Georgia" w:hAnsi="Georgia"/>
          <w:b/>
          <w:bCs/>
          <w:color w:val="1B2E4A"/>
          <w:sz w:val="24"/>
          <w:szCs w:val="24"/>
        </w:rPr>
        <w:t xml:space="preserve">Our suppliers and procurement</w:t>
      </w:r>
    </w:p>
    <w:p>
      <w:pPr>
        <w:spacing w:after="100" w:before="200"/>
      </w:pPr>
      <w:r>
        <w:rPr>
          <w:rFonts w:ascii="Georgia" w:cs="Georgia" w:eastAsia="Georgia" w:hAnsi="Georgia"/>
          <w:b/>
          <w:bCs/>
          <w:color w:val="1B2E4A"/>
          <w:sz w:val="24"/>
          <w:szCs w:val="24"/>
        </w:rPr>
        <w:t xml:space="preserve">Our employees</w:t>
      </w:r>
    </w:p>
    <w:p>
      <w:pPr>
        <w:spacing w:after="100" w:before="200"/>
      </w:pPr>
      <w:r>
        <w:rPr>
          <w:rFonts w:ascii="Georgia" w:cs="Georgia" w:eastAsia="Georgia" w:hAnsi="Georgia"/>
          <w:b/>
          <w:bCs/>
          <w:color w:val="1B2E4A"/>
          <w:sz w:val="24"/>
          <w:szCs w:val="24"/>
        </w:rPr>
        <w:t xml:space="preserve">Our competitive strengths</w:t>
      </w:r>
    </w:p>
    <w:p>
      <w:pPr>
        <w:spacing w:after="140" w:line="276"/>
        <w:jc w:val="both"/>
      </w:pPr>
      <w:r>
        <w:rPr>
          <w:rFonts w:ascii="Georgia" w:cs="Georgia" w:eastAsia="Georgia" w:hAnsi="Georgia"/>
          <w:sz w:val="21"/>
          <w:szCs w:val="21"/>
        </w:rPr>
        <w:t xml:space="preserve">[· to be supplied: competitive strengths ·]</w:t>
      </w:r>
    </w:p>
    <w:p>
      <w:pPr>
        <w:spacing w:after="100" w:before="200"/>
      </w:pPr>
      <w:r>
        <w:rPr>
          <w:rFonts w:ascii="Georgia" w:cs="Georgia" w:eastAsia="Georgia" w:hAnsi="Georgia"/>
          <w:b/>
          <w:bCs/>
          <w:color w:val="1B2E4A"/>
          <w:sz w:val="24"/>
          <w:szCs w:val="24"/>
        </w:rPr>
        <w:t xml:space="preserve">Our strategies</w:t>
      </w:r>
    </w:p>
    <w:p>
      <w:pPr>
        <w:spacing w:after="140" w:line="276"/>
        <w:jc w:val="both"/>
      </w:pPr>
      <w:r>
        <w:rPr>
          <w:rFonts w:ascii="Georgia" w:cs="Georgia" w:eastAsia="Georgia" w:hAnsi="Georgia"/>
          <w:sz w:val="21"/>
          <w:szCs w:val="21"/>
        </w:rPr>
        <w:t xml:space="preserve">[· to be supplied: business strategies ·]</w:t>
      </w:r>
    </w:p>
    <w:p>
      <w:pPr>
        <w:spacing w:after="40" w:before="200"/>
      </w:pPr>
      <w:r>
        <w:rPr>
          <w:rFonts w:ascii="Calibri" w:cs="Calibri" w:eastAsia="Calibri" w:hAnsi="Calibri"/>
          <w:b/>
          <w:bCs/>
          <w:color w:val="9C6B1E"/>
          <w:sz w:val="16"/>
          <w:szCs w:val="16"/>
        </w:rPr>
        <w:t xml:space="preserve">CHAPTER IV.3</w:t>
      </w:r>
    </w:p>
    <w:p>
      <w:pPr>
        <w:spacing w:after="40"/>
      </w:pPr>
      <w:r>
        <w:rPr>
          <w:rFonts w:ascii="Georgia" w:cs="Georgia" w:eastAsia="Georgia" w:hAnsi="Georgia"/>
          <w:b/>
          <w:bCs/>
          <w:color w:val="1B2E4A"/>
          <w:sz w:val="26"/>
          <w:szCs w:val="26"/>
        </w:rPr>
        <w:t xml:space="preserve">Key Regulations and Policies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R11.2</w:t>
      </w:r>
    </w:p>
    <w:p>
      <w:pPr>
        <w:spacing w:after="140" w:line="276"/>
        <w:jc w:val="both"/>
      </w:pPr>
      <w:r>
        <w:rPr>
          <w:rFonts w:ascii="Georgia" w:cs="Georgia" w:eastAsia="Georgia" w:hAnsi="Georgia"/>
          <w:sz w:val="21"/>
          <w:szCs w:val="21"/>
        </w:rPr>
        <w:t xml:space="preserve">The following is an overview of the principal laws and regulations applicable to the Company's business in the Solar and renewable energy equipment sector. The description is indicative and is not exhaustive, and is based on the law in force as at the date of this Draft Red Herring Prospectus. It is not intended to be, nor should it be construed as, legal advice.</w:t>
      </w:r>
    </w:p>
    <w:p>
      <w:pPr>
        <w:spacing w:after="100" w:before="200"/>
      </w:pPr>
      <w:r>
        <w:rPr>
          <w:rFonts w:ascii="Georgia" w:cs="Georgia" w:eastAsia="Georgia" w:hAnsi="Georgia"/>
          <w:b/>
          <w:bCs/>
          <w:color w:val="1B2E4A"/>
          <w:sz w:val="24"/>
          <w:szCs w:val="24"/>
        </w:rPr>
        <w:t xml:space="preserve">Laws relating to the constitution and governance of the Company</w:t>
      </w:r>
    </w:p>
    <w:p>
      <w:pPr>
        <w:pStyle w:val="ListParagraph"/>
        <w:numPr>
          <w:ilvl w:val="0"/>
          <w:numId w:val="1"/>
        </w:numPr>
        <w:spacing w:after="80"/>
        <w:ind w:left="360" w:hanging="200"/>
        <w:jc w:val="both"/>
      </w:pPr>
      <w:r>
        <w:rPr>
          <w:rFonts w:ascii="Georgia" w:cs="Georgia" w:eastAsia="Georgia" w:hAnsi="Georgia"/>
          <w:sz w:val="20"/>
          <w:szCs w:val="20"/>
        </w:rPr>
        <w:t xml:space="preserve">The Companies Act, 2013, and the rules made thereunder, governing incorporation, share capital, management and the maintenance of statutory records.</w:t>
      </w:r>
    </w:p>
    <w:p>
      <w:pPr>
        <w:pStyle w:val="ListParagraph"/>
        <w:numPr>
          <w:ilvl w:val="0"/>
          <w:numId w:val="1"/>
        </w:numPr>
        <w:spacing w:after="80"/>
        <w:ind w:left="360" w:hanging="200"/>
        <w:jc w:val="both"/>
      </w:pPr>
      <w:r>
        <w:rPr>
          <w:rFonts w:ascii="Georgia" w:cs="Georgia" w:eastAsia="Georgia" w:hAnsi="Georgia"/>
          <w:sz w:val="20"/>
          <w:szCs w:val="20"/>
        </w:rPr>
        <w:t xml:space="preserve">The Securities and Exchange Board of India Act, 1992, and the ICDR Regulations, governing the issue of specified securities and disclosure in the offer document.</w:t>
      </w:r>
    </w:p>
    <w:p>
      <w:pPr>
        <w:pStyle w:val="ListParagraph"/>
        <w:numPr>
          <w:ilvl w:val="0"/>
          <w:numId w:val="1"/>
        </w:numPr>
        <w:spacing w:after="80"/>
        <w:ind w:left="360" w:hanging="200"/>
        <w:jc w:val="both"/>
      </w:pPr>
      <w:r>
        <w:rPr>
          <w:rFonts w:ascii="Georgia" w:cs="Georgia" w:eastAsia="Georgia" w:hAnsi="Georgia"/>
          <w:sz w:val="20"/>
          <w:szCs w:val="20"/>
        </w:rPr>
        <w:t xml:space="preserve">The SEBI (Listing Obligations and Disclosure Requirements) Regulations, 2015, which will apply to the Company on and from listing.</w:t>
      </w:r>
    </w:p>
    <w:p>
      <w:pPr>
        <w:pStyle w:val="ListParagraph"/>
        <w:numPr>
          <w:ilvl w:val="0"/>
          <w:numId w:val="1"/>
        </w:numPr>
        <w:spacing w:after="80"/>
        <w:ind w:left="360" w:hanging="200"/>
        <w:jc w:val="both"/>
      </w:pPr>
      <w:r>
        <w:rPr>
          <w:rFonts w:ascii="Georgia" w:cs="Georgia" w:eastAsia="Georgia" w:hAnsi="Georgia"/>
          <w:sz w:val="20"/>
          <w:szCs w:val="20"/>
        </w:rPr>
        <w:t xml:space="preserve">The SEBI (Prohibition of Insider Trading) Regulations, 2015, which will require the Company to adopt a code of conduct on listing.</w:t>
      </w:r>
    </w:p>
    <w:p>
      <w:pPr>
        <w:spacing w:after="100" w:before="200"/>
      </w:pPr>
      <w:r>
        <w:rPr>
          <w:rFonts w:ascii="Georgia" w:cs="Georgia" w:eastAsia="Georgia" w:hAnsi="Georgia"/>
          <w:b/>
          <w:bCs/>
          <w:color w:val="1B2E4A"/>
          <w:sz w:val="24"/>
          <w:szCs w:val="24"/>
        </w:rPr>
        <w:t xml:space="preserve">Laws relating to the Company's operations</w:t>
      </w:r>
    </w:p>
    <w:p>
      <w:pPr>
        <w:pStyle w:val="ListParagraph"/>
        <w:numPr>
          <w:ilvl w:val="0"/>
          <w:numId w:val="1"/>
        </w:numPr>
        <w:spacing w:after="80"/>
        <w:ind w:left="360" w:hanging="200"/>
        <w:jc w:val="both"/>
      </w:pPr>
      <w:r>
        <w:rPr>
          <w:rFonts w:ascii="Georgia" w:cs="Georgia" w:eastAsia="Georgia" w:hAnsi="Georgia"/>
          <w:sz w:val="20"/>
          <w:szCs w:val="20"/>
        </w:rPr>
        <w:t xml:space="preserve">The Factories Act, 1948, and the rules made thereunder by the state in which the Company's facilities are situated, governing the registration, licensing, health, safety and working conditions at manufacturing premises.</w:t>
      </w:r>
    </w:p>
    <w:p>
      <w:pPr>
        <w:pStyle w:val="ListParagraph"/>
        <w:numPr>
          <w:ilvl w:val="0"/>
          <w:numId w:val="1"/>
        </w:numPr>
        <w:spacing w:after="80"/>
        <w:ind w:left="360" w:hanging="200"/>
        <w:jc w:val="both"/>
      </w:pPr>
      <w:r>
        <w:rPr>
          <w:rFonts w:ascii="Georgia" w:cs="Georgia" w:eastAsia="Georgia" w:hAnsi="Georgia"/>
          <w:sz w:val="20"/>
          <w:szCs w:val="20"/>
        </w:rPr>
        <w:t xml:space="preserve">Environmental legislation including the Water (Prevention and Control of Pollution) Act, 1974, the Air (Prevention and Control of Pollution) Act, 1981 and the Environment (Protection) Act, 1986, under which the Company holds consents to establish and to operate.</w:t>
      </w:r>
    </w:p>
    <w:p>
      <w:pPr>
        <w:pStyle w:val="ListParagraph"/>
        <w:numPr>
          <w:ilvl w:val="0"/>
          <w:numId w:val="1"/>
        </w:numPr>
        <w:spacing w:after="80"/>
        <w:ind w:left="360" w:hanging="200"/>
        <w:jc w:val="both"/>
      </w:pPr>
      <w:r>
        <w:rPr>
          <w:rFonts w:ascii="Georgia" w:cs="Georgia" w:eastAsia="Georgia" w:hAnsi="Georgia"/>
          <w:sz w:val="20"/>
          <w:szCs w:val="20"/>
        </w:rPr>
        <w:t xml:space="preserve">The Hazardous and Other Wastes (Management and Transboundary Movement) Rules, 2016, where applicable to the Company's processes.</w:t>
      </w:r>
    </w:p>
    <w:p>
      <w:pPr>
        <w:pStyle w:val="ListParagraph"/>
        <w:numPr>
          <w:ilvl w:val="0"/>
          <w:numId w:val="1"/>
        </w:numPr>
        <w:spacing w:after="80"/>
        <w:ind w:left="360" w:hanging="200"/>
        <w:jc w:val="both"/>
      </w:pPr>
      <w:r>
        <w:rPr>
          <w:rFonts w:ascii="Georgia" w:cs="Georgia" w:eastAsia="Georgia" w:hAnsi="Georgia"/>
          <w:sz w:val="20"/>
          <w:szCs w:val="20"/>
        </w:rPr>
        <w:t xml:space="preserve">Labour legislation including the Industrial Disputes Act, 1947, the Payment of Wages Act, 1936, the Minimum Wages Act, 1948, the Employees' Provident Funds and Miscellaneous Provisions Act, 1952, the Employees' State Insurance Act, 1948, the Payment of Gratuity Act, 1972 and the Contract Labour (Regulation and Abolition) Act, 1970.</w:t>
      </w:r>
    </w:p>
    <w:p>
      <w:pPr>
        <w:spacing w:after="100" w:before="200"/>
      </w:pPr>
      <w:r>
        <w:rPr>
          <w:rFonts w:ascii="Georgia" w:cs="Georgia" w:eastAsia="Georgia" w:hAnsi="Georgia"/>
          <w:b/>
          <w:bCs/>
          <w:color w:val="1B2E4A"/>
          <w:sz w:val="24"/>
          <w:szCs w:val="24"/>
        </w:rPr>
        <w:t xml:space="preserve">Laws relating to taxation and trade</w:t>
      </w:r>
    </w:p>
    <w:p>
      <w:pPr>
        <w:pStyle w:val="ListParagraph"/>
        <w:numPr>
          <w:ilvl w:val="0"/>
          <w:numId w:val="1"/>
        </w:numPr>
        <w:spacing w:after="80"/>
        <w:ind w:left="360" w:hanging="200"/>
        <w:jc w:val="both"/>
      </w:pPr>
      <w:r>
        <w:rPr>
          <w:rFonts w:ascii="Georgia" w:cs="Georgia" w:eastAsia="Georgia" w:hAnsi="Georgia"/>
          <w:sz w:val="20"/>
          <w:szCs w:val="20"/>
        </w:rPr>
        <w:t xml:space="preserve">The Central Goods and Services Tax Act, 2017, the applicable State Goods and Services Tax legislation and the Integrated Goods and Services Tax Act, 2017.</w:t>
      </w:r>
    </w:p>
    <w:p>
      <w:pPr>
        <w:pStyle w:val="ListParagraph"/>
        <w:numPr>
          <w:ilvl w:val="0"/>
          <w:numId w:val="1"/>
        </w:numPr>
        <w:spacing w:after="80"/>
        <w:ind w:left="360" w:hanging="200"/>
        <w:jc w:val="both"/>
      </w:pPr>
      <w:r>
        <w:rPr>
          <w:rFonts w:ascii="Georgia" w:cs="Georgia" w:eastAsia="Georgia" w:hAnsi="Georgia"/>
          <w:sz w:val="20"/>
          <w:szCs w:val="20"/>
        </w:rPr>
        <w:t xml:space="preserve">The Income-tax Act, 1961.</w:t>
      </w:r>
    </w:p>
    <w:p>
      <w:pPr>
        <w:pStyle w:val="ListParagraph"/>
        <w:numPr>
          <w:ilvl w:val="0"/>
          <w:numId w:val="1"/>
        </w:numPr>
        <w:spacing w:after="80"/>
        <w:ind w:left="360" w:hanging="200"/>
        <w:jc w:val="both"/>
      </w:pPr>
      <w:r>
        <w:rPr>
          <w:rFonts w:ascii="Georgia" w:cs="Georgia" w:eastAsia="Georgia" w:hAnsi="Georgia"/>
          <w:sz w:val="20"/>
          <w:szCs w:val="20"/>
        </w:rPr>
        <w:t xml:space="preserve">The Customs Act, 1962 and the Foreign Trade (Development and Regulation) Act, 1992, in relation to the Company's import and export activity.</w:t>
      </w:r>
    </w:p>
    <w:p>
      <w:pPr>
        <w:pStyle w:val="ListParagraph"/>
        <w:numPr>
          <w:ilvl w:val="0"/>
          <w:numId w:val="1"/>
        </w:numPr>
        <w:spacing w:after="80"/>
        <w:ind w:left="360" w:hanging="200"/>
        <w:jc w:val="both"/>
      </w:pPr>
      <w:r>
        <w:rPr>
          <w:rFonts w:ascii="Georgia" w:cs="Georgia" w:eastAsia="Georgia" w:hAnsi="Georgia"/>
          <w:sz w:val="20"/>
          <w:szCs w:val="20"/>
        </w:rPr>
        <w:t xml:space="preserve">The Foreign Exchange Management Act, 1999, and the rules and regulations made thereunder, in relation to foreign investment in the Company.</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merchant banker, in consultation with legal counsel, must confirm the sector-specific legislation applicable to the Solar and renewable energy equipment sector and remove any of the above that does not apply to the Company.</w:t>
      </w:r>
    </w:p>
    <w:p>
      <w:pPr>
        <w:spacing w:after="40" w:before="200"/>
      </w:pPr>
      <w:r>
        <w:rPr>
          <w:rFonts w:ascii="Calibri" w:cs="Calibri" w:eastAsia="Calibri" w:hAnsi="Calibri"/>
          <w:b/>
          <w:bCs/>
          <w:color w:val="9C6B1E"/>
          <w:sz w:val="16"/>
          <w:szCs w:val="16"/>
        </w:rPr>
        <w:t xml:space="preserve">CHAPTER IV.4</w:t>
      </w:r>
    </w:p>
    <w:p>
      <w:pPr>
        <w:spacing w:after="40"/>
      </w:pPr>
      <w:r>
        <w:rPr>
          <w:rFonts w:ascii="Georgia" w:cs="Georgia" w:eastAsia="Georgia" w:hAnsi="Georgia"/>
          <w:b/>
          <w:bCs/>
          <w:color w:val="1B2E4A"/>
          <w:sz w:val="26"/>
          <w:szCs w:val="26"/>
        </w:rPr>
        <w:t xml:space="preserve">History and Certain Corporate Matters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R1.1, R1.2</w:t>
      </w:r>
    </w:p>
    <w:p>
      <w:pPr>
        <w:spacing w:after="100" w:before="200"/>
      </w:pPr>
      <w:r>
        <w:rPr>
          <w:rFonts w:ascii="Georgia" w:cs="Georgia" w:eastAsia="Georgia" w:hAnsi="Georgia"/>
          <w:b/>
          <w:bCs/>
          <w:color w:val="1B2E4A"/>
          <w:sz w:val="24"/>
          <w:szCs w:val="24"/>
        </w:rPr>
        <w:t xml:space="preserve">Brief history of the Company</w:t>
      </w:r>
    </w:p>
    <w:p>
      <w:pPr>
        <w:spacing w:after="140" w:line="276"/>
        <w:jc w:val="both"/>
      </w:pPr>
      <w:r>
        <w:rPr>
          <w:rFonts w:ascii="Georgia" w:cs="Georgia" w:eastAsia="Georgia" w:hAnsi="Georgia"/>
          <w:sz w:val="21"/>
          <w:szCs w:val="21"/>
        </w:rPr>
        <w:t xml:space="preserve">Himalayan Solar Limited was incorporated on 8 September 2015 at Haryana under the Companies Act, and holds Corporate Identification Number U40100HR2015PLC056609. The registered office of the Company is situated at SCO-411, 2nd Floor, Sector 20, Panchkula, Haryana 134117, India.</w:t>
      </w:r>
    </w:p>
    <w:p>
      <w:pPr>
        <w:spacing w:after="100" w:before="200"/>
      </w:pPr>
      <w:r>
        <w:rPr>
          <w:rFonts w:ascii="Georgia" w:cs="Georgia" w:eastAsia="Georgia" w:hAnsi="Georgia"/>
          <w:b/>
          <w:bCs/>
          <w:color w:val="1B2E4A"/>
          <w:sz w:val="24"/>
          <w:szCs w:val="24"/>
        </w:rPr>
        <w:t xml:space="preserve">Main objects of the Company</w:t>
      </w:r>
    </w:p>
    <w:p>
      <w:pPr>
        <w:spacing w:after="140" w:line="276"/>
        <w:jc w:val="both"/>
      </w:pPr>
      <w:r>
        <w:rPr>
          <w:rFonts w:ascii="Georgia" w:cs="Georgia" w:eastAsia="Georgia" w:hAnsi="Georgia"/>
          <w:sz w:val="21"/>
          <w:szCs w:val="21"/>
        </w:rPr>
        <w:t xml:space="preserve">The main objects of the Company as set out in Clause III(A) of its Memorandum of Association are as follows: To carry on the business of manufacture, assembly, installation and supply of solar photovoltaic modules and allied renewable energy equipment, and to undertake engineering, procurement and construction of solar power projects.</w:t>
      </w:r>
    </w:p>
    <w:p>
      <w:pPr>
        <w:spacing w:after="100" w:before="200"/>
      </w:pPr>
      <w:r>
        <w:rPr>
          <w:rFonts w:ascii="Georgia" w:cs="Georgia" w:eastAsia="Georgia" w:hAnsi="Georgia"/>
          <w:b/>
          <w:bCs/>
          <w:color w:val="1B2E4A"/>
          <w:sz w:val="24"/>
          <w:szCs w:val="24"/>
        </w:rPr>
        <w:t xml:space="preserve">Key events in the corporate history of the Company</w:t>
      </w:r>
    </w:p>
    <w:p>
      <w:pPr>
        <w:spacing w:after="140" w:line="276"/>
        <w:jc w:val="both"/>
      </w:pPr>
      <w:r>
        <w:rPr>
          <w:rFonts w:ascii="Georgia" w:cs="Georgia" w:eastAsia="Georgia" w:hAnsi="Georgia"/>
          <w:sz w:val="21"/>
          <w:szCs w:val="21"/>
        </w:rPr>
        <w:t xml:space="preserve">The principal events in the corporate history of the Company are evidenced by the history of its equity share capital, which is set out under "Capital Structure". Details of any change in the registered office, any amendment to the Memorandum of Association, and any acquisition, amalgamation, scheme of arrangement or material agreement are to be confirmed by the merchant banker against the Company's statutory records.</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merchant banker must verify this chapter against the Company's MCA filings, minute books and statutory registers, and add particulars of any shareholders' agreement, joint venture, strategic partnership or material acquisition.</w:t>
      </w:r>
    </w:p>
    <w:p>
      <w:pPr>
        <w:spacing w:after="40" w:before="200"/>
      </w:pPr>
      <w:r>
        <w:rPr>
          <w:rFonts w:ascii="Calibri" w:cs="Calibri" w:eastAsia="Calibri" w:hAnsi="Calibri"/>
          <w:b/>
          <w:bCs/>
          <w:color w:val="9C6B1E"/>
          <w:sz w:val="16"/>
          <w:szCs w:val="16"/>
        </w:rPr>
        <w:t xml:space="preserve">CHAPTER IV.5</w:t>
      </w:r>
    </w:p>
    <w:p>
      <w:pPr>
        <w:spacing w:after="40"/>
      </w:pPr>
      <w:r>
        <w:rPr>
          <w:rFonts w:ascii="Georgia" w:cs="Georgia" w:eastAsia="Georgia" w:hAnsi="Georgia"/>
          <w:b/>
          <w:bCs/>
          <w:color w:val="1B2E4A"/>
          <w:sz w:val="26"/>
          <w:szCs w:val="26"/>
        </w:rPr>
        <w:t xml:space="preserve">Our Management</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R6.1, R6.2, R6.5, R6.6</w:t>
      </w:r>
    </w:p>
    <w:p>
      <w:pPr>
        <w:spacing w:after="100" w:before="200"/>
      </w:pPr>
      <w:r>
        <w:rPr>
          <w:rFonts w:ascii="Georgia" w:cs="Georgia" w:eastAsia="Georgia" w:hAnsi="Georgia"/>
          <w:b/>
          <w:bCs/>
          <w:color w:val="1B2E4A"/>
          <w:sz w:val="24"/>
          <w:szCs w:val="24"/>
        </w:rPr>
        <w:t xml:space="preserve">Board of Directors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the Directors of the Company.</w:t>
      </w:r>
    </w:p>
    <w:p>
      <w:pPr>
        <w:spacing w:after="40"/>
        <w:ind w:left="460"/>
      </w:pPr>
      <w:r>
        <w:rPr>
          <w:rFonts w:ascii="Calibri" w:cs="Calibri" w:eastAsia="Calibri" w:hAnsi="Calibri"/>
          <w:color w:val="5B6472"/>
          <w:sz w:val="17"/>
          <w:szCs w:val="17"/>
        </w:rPr>
        <w:t xml:space="preserve">–  Name, designation, DIN, age, address and qualification of each Director</w:t>
      </w:r>
    </w:p>
    <w:p>
      <w:pPr>
        <w:spacing w:after="40"/>
        <w:ind w:left="460"/>
      </w:pPr>
      <w:r>
        <w:rPr>
          <w:rFonts w:ascii="Calibri" w:cs="Calibri" w:eastAsia="Calibri" w:hAnsi="Calibri"/>
          <w:color w:val="5B6472"/>
          <w:sz w:val="17"/>
          <w:szCs w:val="17"/>
        </w:rPr>
        <w:t xml:space="preserve">–  Date of appointment and term of office</w:t>
      </w:r>
    </w:p>
    <w:p>
      <w:pPr>
        <w:spacing w:after="40"/>
        <w:ind w:left="460"/>
      </w:pPr>
      <w:r>
        <w:rPr>
          <w:rFonts w:ascii="Calibri" w:cs="Calibri" w:eastAsia="Calibri" w:hAnsi="Calibri"/>
          <w:color w:val="5B6472"/>
          <w:sz w:val="17"/>
          <w:szCs w:val="17"/>
        </w:rPr>
        <w:t xml:space="preserve">–  Other directorships held by each Director</w:t>
      </w:r>
    </w:p>
    <w:p>
      <w:pPr>
        <w:spacing w:after="100" w:before="200"/>
      </w:pPr>
      <w:r>
        <w:rPr>
          <w:rFonts w:ascii="Georgia" w:cs="Georgia" w:eastAsia="Georgia" w:hAnsi="Georgia"/>
          <w:b/>
          <w:bCs/>
          <w:color w:val="1B2E4A"/>
          <w:sz w:val="24"/>
          <w:szCs w:val="24"/>
        </w:rPr>
        <w:t xml:space="preserve">Key managerial personnel</w:t>
      </w:r>
    </w:p>
    <w:p>
      <w:pPr>
        <w:spacing w:after="140" w:line="276"/>
        <w:jc w:val="both"/>
      </w:pPr>
      <w:r>
        <w:rPr>
          <w:rFonts w:ascii="Georgia" w:cs="Georgia" w:eastAsia="Georgia" w:hAnsi="Georgia"/>
          <w:sz w:val="21"/>
          <w:szCs w:val="21"/>
        </w:rPr>
        <w:t xml:space="preserve">Ms. Sakshi Sharma, Chief Financial Officer; Mrs. Navkiran Kaur, Company Secretary and Compliance Officer.</w:t>
      </w:r>
    </w:p>
    <w:p>
      <w:pPr>
        <w:spacing w:after="100" w:before="200"/>
      </w:pPr>
      <w:r>
        <w:rPr>
          <w:rFonts w:ascii="Georgia" w:cs="Georgia" w:eastAsia="Georgia" w:hAnsi="Georgia"/>
          <w:b/>
          <w:bCs/>
          <w:color w:val="1B2E4A"/>
          <w:sz w:val="24"/>
          <w:szCs w:val="24"/>
        </w:rPr>
        <w:t xml:space="preserve">Remuneration of Directors and key managerial personnel</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Remuneration paid to the Directors and key managerial personnel.</w:t>
      </w:r>
    </w:p>
    <w:p>
      <w:pPr>
        <w:spacing w:after="40"/>
        <w:ind w:left="460"/>
      </w:pPr>
      <w:r>
        <w:rPr>
          <w:rFonts w:ascii="Calibri" w:cs="Calibri" w:eastAsia="Calibri" w:hAnsi="Calibri"/>
          <w:color w:val="5B6472"/>
          <w:sz w:val="17"/>
          <w:szCs w:val="17"/>
        </w:rPr>
        <w:t xml:space="preserve">–  Remuneration paid to each Director in the last financial year</w:t>
      </w:r>
    </w:p>
    <w:p>
      <w:pPr>
        <w:spacing w:after="40"/>
        <w:ind w:left="460"/>
      </w:pPr>
      <w:r>
        <w:rPr>
          <w:rFonts w:ascii="Calibri" w:cs="Calibri" w:eastAsia="Calibri" w:hAnsi="Calibri"/>
          <w:color w:val="5B6472"/>
          <w:sz w:val="17"/>
          <w:szCs w:val="17"/>
        </w:rPr>
        <w:t xml:space="preserve">–  Sitting fees paid to independent Directors</w:t>
      </w:r>
    </w:p>
    <w:p>
      <w:pPr>
        <w:spacing w:after="100" w:before="200"/>
      </w:pPr>
      <w:r>
        <w:rPr>
          <w:rFonts w:ascii="Georgia" w:cs="Georgia" w:eastAsia="Georgia" w:hAnsi="Georgia"/>
          <w:b/>
          <w:bCs/>
          <w:color w:val="1B2E4A"/>
          <w:sz w:val="24"/>
          <w:szCs w:val="24"/>
        </w:rPr>
        <w:t xml:space="preserve">Corporate governance</w:t>
      </w:r>
    </w:p>
    <w:p>
      <w:pPr>
        <w:spacing w:after="140" w:line="276"/>
        <w:jc w:val="both"/>
      </w:pPr>
      <w:r>
        <w:rPr>
          <w:rFonts w:ascii="Georgia" w:cs="Georgia" w:eastAsia="Georgia" w:hAnsi="Georgia"/>
          <w:sz w:val="21"/>
          <w:szCs w:val="21"/>
        </w:rPr>
        <w:t xml:space="preserve">The Company is in compliance with the requirements of the Companies Act and, on listing, will comply with the applicable provisions of the LODR Regulations in relation to the composition of the Board and the constitution of its committees.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Constitution of the Audit Committee, the Nomination and Remuneration Committee and the Stakeholders Relationship Committee.</w:t>
      </w:r>
    </w:p>
    <w:p>
      <w:pPr>
        <w:spacing w:after="40"/>
        <w:ind w:left="460"/>
      </w:pPr>
      <w:r>
        <w:rPr>
          <w:rFonts w:ascii="Calibri" w:cs="Calibri" w:eastAsia="Calibri" w:hAnsi="Calibri"/>
          <w:color w:val="5B6472"/>
          <w:sz w:val="17"/>
          <w:szCs w:val="17"/>
        </w:rPr>
        <w:t xml:space="preserve">–  Members and chairperson of the Audit Committee</w:t>
      </w:r>
    </w:p>
    <w:p>
      <w:pPr>
        <w:spacing w:after="40"/>
        <w:ind w:left="460"/>
      </w:pPr>
      <w:r>
        <w:rPr>
          <w:rFonts w:ascii="Calibri" w:cs="Calibri" w:eastAsia="Calibri" w:hAnsi="Calibri"/>
          <w:color w:val="5B6472"/>
          <w:sz w:val="17"/>
          <w:szCs w:val="17"/>
        </w:rPr>
        <w:t xml:space="preserve">–  Members and chairperson of the Nomination and Remuneration Committee</w:t>
      </w:r>
    </w:p>
    <w:p>
      <w:pPr>
        <w:spacing w:after="40"/>
        <w:ind w:left="460"/>
      </w:pPr>
      <w:r>
        <w:rPr>
          <w:rFonts w:ascii="Calibri" w:cs="Calibri" w:eastAsia="Calibri" w:hAnsi="Calibri"/>
          <w:color w:val="5B6472"/>
          <w:sz w:val="17"/>
          <w:szCs w:val="17"/>
        </w:rPr>
        <w:t xml:space="preserve">–  Members and chairperson of the Stakeholders Relationship Committee</w:t>
      </w:r>
    </w:p>
    <w:p>
      <w:pPr>
        <w:spacing w:after="100" w:before="200"/>
      </w:pPr>
      <w:r>
        <w:rPr>
          <w:rFonts w:ascii="Georgia" w:cs="Georgia" w:eastAsia="Georgia" w:hAnsi="Georgia"/>
          <w:b/>
          <w:bCs/>
          <w:color w:val="1B2E4A"/>
          <w:sz w:val="24"/>
          <w:szCs w:val="24"/>
        </w:rPr>
        <w:t xml:space="preserve">Related-party transactions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related-party transactions entered into by the Company.</w:t>
      </w:r>
    </w:p>
    <w:p>
      <w:pPr>
        <w:spacing w:after="40"/>
        <w:ind w:left="460"/>
      </w:pPr>
      <w:r>
        <w:rPr>
          <w:rFonts w:ascii="Calibri" w:cs="Calibri" w:eastAsia="Calibri" w:hAnsi="Calibri"/>
          <w:color w:val="5B6472"/>
          <w:sz w:val="17"/>
          <w:szCs w:val="17"/>
        </w:rPr>
        <w:t xml:space="preserve">–  Name of each related party and the nature of the relationship</w:t>
      </w:r>
    </w:p>
    <w:p>
      <w:pPr>
        <w:spacing w:after="40"/>
        <w:ind w:left="460"/>
      </w:pPr>
      <w:r>
        <w:rPr>
          <w:rFonts w:ascii="Calibri" w:cs="Calibri" w:eastAsia="Calibri" w:hAnsi="Calibri"/>
          <w:color w:val="5B6472"/>
          <w:sz w:val="17"/>
          <w:szCs w:val="17"/>
        </w:rPr>
        <w:t xml:space="preserve">–  Nature and value of each transaction for every reported financial year</w:t>
      </w:r>
    </w:p>
    <w:p>
      <w:pPr>
        <w:spacing w:after="40"/>
        <w:ind w:left="460"/>
      </w:pPr>
      <w:r>
        <w:rPr>
          <w:rFonts w:ascii="Calibri" w:cs="Calibri" w:eastAsia="Calibri" w:hAnsi="Calibri"/>
          <w:color w:val="5B6472"/>
          <w:sz w:val="17"/>
          <w:szCs w:val="17"/>
        </w:rPr>
        <w:t xml:space="preserve">–  Confirmation that the transactions were at arm's length</w:t>
      </w:r>
    </w:p>
    <w:p>
      <w:pPr>
        <w:spacing w:after="40" w:before="200"/>
      </w:pPr>
      <w:r>
        <w:rPr>
          <w:rFonts w:ascii="Calibri" w:cs="Calibri" w:eastAsia="Calibri" w:hAnsi="Calibri"/>
          <w:b/>
          <w:bCs/>
          <w:color w:val="9C6B1E"/>
          <w:sz w:val="16"/>
          <w:szCs w:val="16"/>
        </w:rPr>
        <w:t xml:space="preserve">CHAPTER IV.6</w:t>
      </w:r>
    </w:p>
    <w:p>
      <w:pPr>
        <w:spacing w:after="40"/>
      </w:pPr>
      <w:r>
        <w:rPr>
          <w:rFonts w:ascii="Georgia" w:cs="Georgia" w:eastAsia="Georgia" w:hAnsi="Georgia"/>
          <w:b/>
          <w:bCs/>
          <w:color w:val="1B2E4A"/>
          <w:sz w:val="26"/>
          <w:szCs w:val="26"/>
        </w:rPr>
        <w:t xml:space="preserve">Our Promoters and Promoter Group</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R12.1, R12.2, R12.3</w:t>
      </w:r>
    </w:p>
    <w:p>
      <w:pPr>
        <w:spacing w:after="100" w:before="200"/>
      </w:pPr>
      <w:r>
        <w:rPr>
          <w:rFonts w:ascii="Georgia" w:cs="Georgia" w:eastAsia="Georgia" w:hAnsi="Georgia"/>
          <w:b/>
          <w:bCs/>
          <w:color w:val="1B2E4A"/>
          <w:sz w:val="24"/>
          <w:szCs w:val="24"/>
        </w:rPr>
        <w:t xml:space="preserve">Our Promoters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the Promoters of the Company.</w:t>
      </w:r>
    </w:p>
    <w:p>
      <w:pPr>
        <w:spacing w:after="40"/>
        <w:ind w:left="460"/>
      </w:pPr>
      <w:r>
        <w:rPr>
          <w:rFonts w:ascii="Calibri" w:cs="Calibri" w:eastAsia="Calibri" w:hAnsi="Calibri"/>
          <w:color w:val="5B6472"/>
          <w:sz w:val="17"/>
          <w:szCs w:val="17"/>
        </w:rPr>
        <w:t xml:space="preserve">–  Name, age, qualification, experience and address of each Promoter</w:t>
      </w:r>
    </w:p>
    <w:p>
      <w:pPr>
        <w:spacing w:after="40"/>
        <w:ind w:left="460"/>
      </w:pPr>
      <w:r>
        <w:rPr>
          <w:rFonts w:ascii="Calibri" w:cs="Calibri" w:eastAsia="Calibri" w:hAnsi="Calibri"/>
          <w:color w:val="5B6472"/>
          <w:sz w:val="17"/>
          <w:szCs w:val="17"/>
        </w:rPr>
        <w:t xml:space="preserve">–  Permanent Account Number, passport number and bank account details for verification</w:t>
      </w:r>
    </w:p>
    <w:p>
      <w:pPr>
        <w:spacing w:after="40"/>
        <w:ind w:left="460"/>
      </w:pPr>
      <w:r>
        <w:rPr>
          <w:rFonts w:ascii="Calibri" w:cs="Calibri" w:eastAsia="Calibri" w:hAnsi="Calibri"/>
          <w:color w:val="5B6472"/>
          <w:sz w:val="17"/>
          <w:szCs w:val="17"/>
        </w:rPr>
        <w:t xml:space="preserve">–  Other ventures and directorships of each Promoter</w:t>
      </w:r>
    </w:p>
    <w:p>
      <w:pPr>
        <w:spacing w:after="100" w:before="200"/>
      </w:pPr>
      <w:r>
        <w:rPr>
          <w:rFonts w:ascii="Georgia" w:cs="Georgia" w:eastAsia="Georgia" w:hAnsi="Georgia"/>
          <w:b/>
          <w:bCs/>
          <w:color w:val="1B2E4A"/>
          <w:sz w:val="24"/>
          <w:szCs w:val="24"/>
        </w:rPr>
        <w:t xml:space="preserve">Promoter contribution and lock-in</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Minimum promoter contribution, the equity shares locked in, and the period of lock-in under the ICDR Regulations.</w:t>
      </w:r>
    </w:p>
    <w:p>
      <w:pPr>
        <w:spacing w:after="40"/>
        <w:ind w:left="460"/>
      </w:pPr>
      <w:r>
        <w:rPr>
          <w:rFonts w:ascii="Calibri" w:cs="Calibri" w:eastAsia="Calibri" w:hAnsi="Calibri"/>
          <w:color w:val="5B6472"/>
          <w:sz w:val="17"/>
          <w:szCs w:val="17"/>
        </w:rPr>
        <w:t xml:space="preserve">–  Computation of the minimum promoter contribution required under the ICDR Regulations</w:t>
      </w:r>
    </w:p>
    <w:p>
      <w:pPr>
        <w:spacing w:after="40"/>
        <w:ind w:left="460"/>
      </w:pPr>
      <w:r>
        <w:rPr>
          <w:rFonts w:ascii="Calibri" w:cs="Calibri" w:eastAsia="Calibri" w:hAnsi="Calibri"/>
          <w:color w:val="5B6472"/>
          <w:sz w:val="17"/>
          <w:szCs w:val="17"/>
        </w:rPr>
        <w:t xml:space="preserve">–  Identification of the specific equity shares proposed to be locked in, with the date and consideration of each allotment</w:t>
      </w:r>
    </w:p>
    <w:p>
      <w:pPr>
        <w:spacing w:after="40"/>
        <w:ind w:left="460"/>
      </w:pPr>
      <w:r>
        <w:rPr>
          <w:rFonts w:ascii="Calibri" w:cs="Calibri" w:eastAsia="Calibri" w:hAnsi="Calibri"/>
          <w:color w:val="5B6472"/>
          <w:sz w:val="17"/>
          <w:szCs w:val="17"/>
        </w:rPr>
        <w:t xml:space="preserve">–  Written undertaking from each Promoter not to transfer the locked-in equity shares</w:t>
      </w:r>
    </w:p>
    <w:p>
      <w:pPr>
        <w:spacing w:after="40"/>
        <w:ind w:left="460"/>
      </w:pPr>
      <w:r>
        <w:rPr>
          <w:rFonts w:ascii="Calibri" w:cs="Calibri" w:eastAsia="Calibri" w:hAnsi="Calibri"/>
          <w:color w:val="5B6472"/>
          <w:sz w:val="17"/>
          <w:szCs w:val="17"/>
        </w:rPr>
        <w:t xml:space="preserve">–  Confirmation from the depository that the lock-in has been recorded</w:t>
      </w:r>
    </w:p>
    <w:p>
      <w:pPr>
        <w:spacing w:after="100" w:before="200"/>
      </w:pPr>
      <w:r>
        <w:rPr>
          <w:rFonts w:ascii="Georgia" w:cs="Georgia" w:eastAsia="Georgia" w:hAnsi="Georgia"/>
          <w:b/>
          <w:bCs/>
          <w:color w:val="1B2E4A"/>
          <w:sz w:val="24"/>
          <w:szCs w:val="24"/>
        </w:rPr>
        <w:t xml:space="preserve">Confirmations</w:t>
      </w:r>
    </w:p>
    <w:p>
      <w:pPr>
        <w:spacing w:after="140" w:line="276"/>
        <w:jc w:val="both"/>
      </w:pPr>
      <w:r>
        <w:rPr>
          <w:rFonts w:ascii="Georgia" w:cs="Georgia" w:eastAsia="Georgia" w:hAnsi="Georgia"/>
          <w:sz w:val="21"/>
          <w:szCs w:val="21"/>
        </w:rPr>
        <w:t xml:space="preserve">The Promoters and the members of the Promoter Group are required to confirm that they have not been declared as wilful defaulters or fraudulent borrowers, that they are not debarred from accessing the capital markets, and that they are not promoters or directors of any other company which is so debarred. These confirmations are obtained and verified by the Lead Manager during due diligence.</w:t>
      </w:r>
    </w:p>
    <w:p>
      <w:pPr>
        <w:spacing w:after="40" w:before="200"/>
      </w:pPr>
      <w:r>
        <w:rPr>
          <w:rFonts w:ascii="Calibri" w:cs="Calibri" w:eastAsia="Calibri" w:hAnsi="Calibri"/>
          <w:b/>
          <w:bCs/>
          <w:color w:val="9C6B1E"/>
          <w:sz w:val="16"/>
          <w:szCs w:val="16"/>
        </w:rPr>
        <w:t xml:space="preserve">CHAPTER IV.7</w:t>
      </w:r>
    </w:p>
    <w:p>
      <w:pPr>
        <w:spacing w:after="40"/>
      </w:pPr>
      <w:r>
        <w:rPr>
          <w:rFonts w:ascii="Georgia" w:cs="Georgia" w:eastAsia="Georgia" w:hAnsi="Georgia"/>
          <w:b/>
          <w:bCs/>
          <w:color w:val="1B2E4A"/>
          <w:sz w:val="26"/>
          <w:szCs w:val="26"/>
        </w:rPr>
        <w:t xml:space="preserve">Our Group Companies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R6.4</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the group companies of the Company.</w:t>
      </w:r>
    </w:p>
    <w:p>
      <w:pPr>
        <w:spacing w:after="40"/>
        <w:ind w:left="460"/>
      </w:pPr>
      <w:r>
        <w:rPr>
          <w:rFonts w:ascii="Calibri" w:cs="Calibri" w:eastAsia="Calibri" w:hAnsi="Calibri"/>
          <w:color w:val="5B6472"/>
          <w:sz w:val="17"/>
          <w:szCs w:val="17"/>
        </w:rPr>
        <w:t xml:space="preserve">–  Name and date of incorporation of each group company</w:t>
      </w:r>
    </w:p>
    <w:p>
      <w:pPr>
        <w:spacing w:after="40"/>
        <w:ind w:left="460"/>
      </w:pPr>
      <w:r>
        <w:rPr>
          <w:rFonts w:ascii="Calibri" w:cs="Calibri" w:eastAsia="Calibri" w:hAnsi="Calibri"/>
          <w:color w:val="5B6472"/>
          <w:sz w:val="17"/>
          <w:szCs w:val="17"/>
        </w:rPr>
        <w:t xml:space="preserve">–  Nature of the relationship with the Company</w:t>
      </w:r>
    </w:p>
    <w:p>
      <w:pPr>
        <w:spacing w:after="40"/>
        <w:ind w:left="460"/>
      </w:pPr>
      <w:r>
        <w:rPr>
          <w:rFonts w:ascii="Calibri" w:cs="Calibri" w:eastAsia="Calibri" w:hAnsi="Calibri"/>
          <w:color w:val="5B6472"/>
          <w:sz w:val="17"/>
          <w:szCs w:val="17"/>
        </w:rPr>
        <w:t xml:space="preserve">–  Summary financial information of each group company for the last three financial years</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Summary financial information for each group company for the last three financial years, particulars of any group company with a negative net worth, any common pursuits or conflict of interest with the Company, and any related business transactions must be disclosed in this chapter before filing.</w:t>
      </w:r>
    </w:p>
    <w:p>
      <w:pPr>
        <w:spacing w:after="40" w:before="200"/>
      </w:pPr>
      <w:r>
        <w:rPr>
          <w:rFonts w:ascii="Calibri" w:cs="Calibri" w:eastAsia="Calibri" w:hAnsi="Calibri"/>
          <w:b/>
          <w:bCs/>
          <w:color w:val="9C6B1E"/>
          <w:sz w:val="16"/>
          <w:szCs w:val="16"/>
        </w:rPr>
        <w:t xml:space="preserve">CHAPTER IV.8</w:t>
      </w:r>
    </w:p>
    <w:p>
      <w:pPr>
        <w:spacing w:after="40"/>
      </w:pPr>
      <w:r>
        <w:rPr>
          <w:rFonts w:ascii="Georgia" w:cs="Georgia" w:eastAsia="Georgia" w:hAnsi="Georgia"/>
          <w:b/>
          <w:bCs/>
          <w:color w:val="1B2E4A"/>
          <w:sz w:val="26"/>
          <w:szCs w:val="26"/>
        </w:rPr>
        <w:t xml:space="preserve">Dividend Policy</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R13.1</w:t>
      </w:r>
    </w:p>
    <w:p>
      <w:pPr>
        <w:spacing w:after="140" w:line="276"/>
        <w:jc w:val="both"/>
      </w:pPr>
      <w:r>
        <w:rPr>
          <w:rFonts w:ascii="Georgia" w:cs="Georgia" w:eastAsia="Georgia" w:hAnsi="Georgia"/>
          <w:sz w:val="21"/>
          <w:szCs w:val="21"/>
        </w:rPr>
        <w:t xml:space="preserve">The declaration and payment of dividend by the Company is governed by the applicable provisions of the Companies Act, the Articles of Association of the Company, and the dividend policy adopted by the Board of Directors. Under the Companies Act, dividend may be declared out of the profits of the Company for the financial year, out of profits for any previous financial year remaining undistributed, or out of both.</w:t>
      </w:r>
    </w:p>
    <w:p>
      <w:pPr>
        <w:spacing w:after="100" w:before="200"/>
      </w:pPr>
      <w:r>
        <w:rPr>
          <w:rFonts w:ascii="Georgia" w:cs="Georgia" w:eastAsia="Georgia" w:hAnsi="Georgia"/>
          <w:b/>
          <w:bCs/>
          <w:color w:val="1B2E4A"/>
          <w:sz w:val="24"/>
          <w:szCs w:val="24"/>
        </w:rPr>
        <w:t xml:space="preserve">Dividend policy of the Company</w:t>
      </w:r>
    </w:p>
    <w:p>
      <w:pPr>
        <w:spacing w:after="140" w:line="276"/>
        <w:jc w:val="both"/>
      </w:pPr>
      <w:r>
        <w:rPr>
          <w:rFonts w:ascii="Georgia" w:cs="Georgia" w:eastAsia="Georgia" w:hAnsi="Georgia"/>
          <w:sz w:val="21"/>
          <w:szCs w:val="21"/>
        </w:rPr>
        <w:t xml:space="preserve">[· to be supplied: dividend policy ·]</w:t>
      </w:r>
    </w:p>
    <w:p>
      <w:pPr>
        <w:spacing w:after="100" w:before="200"/>
      </w:pPr>
      <w:r>
        <w:rPr>
          <w:rFonts w:ascii="Georgia" w:cs="Georgia" w:eastAsia="Georgia" w:hAnsi="Georgia"/>
          <w:b/>
          <w:bCs/>
          <w:color w:val="1B2E4A"/>
          <w:sz w:val="24"/>
          <w:szCs w:val="24"/>
        </w:rPr>
        <w:t xml:space="preserve">Dividend declared</w:t>
      </w:r>
    </w:p>
    <w:p>
      <w:pPr>
        <w:spacing w:after="140" w:line="276"/>
        <w:jc w:val="both"/>
      </w:pPr>
      <w:r>
        <w:rPr>
          <w:rFonts w:ascii="Georgia" w:cs="Georgia" w:eastAsia="Georgia" w:hAnsi="Georgia"/>
          <w:sz w:val="21"/>
          <w:szCs w:val="21"/>
        </w:rPr>
        <w:t xml:space="preserve">The dividend declared by the Company in the financial years covered by the Restated Financial Statements is as follows: [· to be supplied: dividend history ·]</w:t>
      </w:r>
    </w:p>
    <w:p>
      <w:pPr>
        <w:spacing w:after="140" w:line="276"/>
        <w:jc w:val="both"/>
      </w:pPr>
      <w:r>
        <w:rPr>
          <w:rFonts w:ascii="Georgia" w:cs="Georgia" w:eastAsia="Georgia" w:hAnsi="Georgia"/>
          <w:sz w:val="21"/>
          <w:szCs w:val="21"/>
        </w:rPr>
        <w:t xml:space="preserve">The amount of any future dividend will depend on a number of factors, including the Company's earnings, capital requirements, the commitments described under "Objects of the Issue", contractual restrictions under the Company's financing arrangements, and applicable law. Investors should note that the Company's ability to pay dividends in the future is not assured, and past dividend practice is not indicative of future distributions.</w:t>
      </w:r>
    </w:p>
    <w:p>
      <w:pPr>
        <w:pBdr>
          <w:bottom w:val="single" w:color="1B2E4A" w:sz="18" w:space="4"/>
        </w:pBdr>
        <w:spacing w:after="120" w:before="240"/>
      </w:pPr>
      <w:r>
        <w:rPr>
          <w:rFonts w:ascii="Georgia" w:cs="Georgia" w:eastAsia="Georgia" w:hAnsi="Georgia"/>
          <w:b/>
          <w:bCs/>
          <w:caps/>
          <w:color w:val="1B2E4A"/>
          <w:sz w:val="28"/>
          <w:szCs w:val="28"/>
        </w:rPr>
        <w:t xml:space="preserve">Section V — Financial Information</w:t>
      </w:r>
    </w:p>
    <w:p>
      <w:pPr>
        <w:spacing w:after="40" w:before="200"/>
      </w:pPr>
      <w:r>
        <w:rPr>
          <w:rFonts w:ascii="Calibri" w:cs="Calibri" w:eastAsia="Calibri" w:hAnsi="Calibri"/>
          <w:b/>
          <w:bCs/>
          <w:color w:val="9C6B1E"/>
          <w:sz w:val="16"/>
          <w:szCs w:val="16"/>
        </w:rPr>
        <w:t xml:space="preserve">CHAPTER V.1</w:t>
      </w:r>
    </w:p>
    <w:p>
      <w:pPr>
        <w:spacing w:after="40"/>
      </w:pPr>
      <w:r>
        <w:rPr>
          <w:rFonts w:ascii="Georgia" w:cs="Georgia" w:eastAsia="Georgia" w:hAnsi="Georgia"/>
          <w:b/>
          <w:bCs/>
          <w:color w:val="1B2E4A"/>
          <w:sz w:val="26"/>
          <w:szCs w:val="26"/>
        </w:rPr>
        <w:t xml:space="preserve">Restated Financial Statements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R2.4, R4.1, R4.2, R4.3, R4.4, R6.2</w:t>
      </w:r>
    </w:p>
    <w:p>
      <w:pPr>
        <w:spacing w:after="140" w:line="276"/>
        <w:jc w:val="both"/>
      </w:pPr>
      <w:r>
        <w:rPr>
          <w:rFonts w:ascii="Georgia" w:cs="Georgia" w:eastAsia="Georgia" w:hAnsi="Georgia"/>
          <w:sz w:val="21"/>
          <w:szCs w:val="21"/>
        </w:rPr>
        <w:t xml:space="preserve">The Restated Financial Statements of the Company for the financial years FY23, FY24, FY25 have been prepared in accordance with the Companies Act and restated in accordance with the ICDR Regulations. The summary set out below is extracted from those statements and must be read together with the full Restated Financial Statements and the notes and annexures thereto.</w:t>
      </w:r>
    </w:p>
    <w:p>
      <w:pPr>
        <w:spacing w:after="100" w:before="200"/>
      </w:pPr>
      <w:r>
        <w:rPr>
          <w:rFonts w:ascii="Georgia" w:cs="Georgia" w:eastAsia="Georgia" w:hAnsi="Georgia"/>
          <w:b/>
          <w:bCs/>
          <w:color w:val="1B2E4A"/>
          <w:sz w:val="24"/>
          <w:szCs w:val="24"/>
        </w:rPr>
        <w:t xml:space="preserve">Restated statement of profit and loss</w:t>
      </w:r>
    </w:p>
    <w:p>
      <w:pPr>
        <w:spacing w:after="80" w:before="120"/>
      </w:pPr>
      <w:r>
        <w:rPr>
          <w:rFonts w:ascii="Calibri" w:cs="Calibri" w:eastAsia="Calibri" w:hAnsi="Calibri"/>
          <w:b/>
          <w:bCs/>
          <w:caps/>
          <w:color w:val="1B2E4A"/>
          <w:sz w:val="18"/>
          <w:szCs w:val="18"/>
        </w:rPr>
        <w:t xml:space="preserve">Restated statement of profit and loss (INR in crore)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Particulars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For the year ended FY23</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For the year ended FY24</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For the year ended FY25</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Revenue from operations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47.59</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138.32</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142.44</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Profit after tax</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0.58</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4.94</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15.85</w:t>
            </w:r>
          </w:p>
        </w:tc>
      </w:tr>
    </w:tbl>
    <w:p>
      <w:pPr>
        <w:spacing w:after="80"/>
      </w:pPr>
    </w:p>
    <w:p>
      <w:pPr>
        <w:spacing w:after="100" w:before="200"/>
      </w:pPr>
      <w:r>
        <w:rPr>
          <w:rFonts w:ascii="Georgia" w:cs="Georgia" w:eastAsia="Georgia" w:hAnsi="Georgia"/>
          <w:b/>
          <w:bCs/>
          <w:color w:val="1B2E4A"/>
          <w:sz w:val="24"/>
          <w:szCs w:val="24"/>
        </w:rPr>
        <w:t xml:space="preserve">Restated statement of assets and liabilities</w:t>
      </w:r>
    </w:p>
    <w:p>
      <w:pPr>
        <w:spacing w:after="100" w:before="200"/>
      </w:pPr>
      <w:r>
        <w:rPr>
          <w:rFonts w:ascii="Georgia" w:cs="Georgia" w:eastAsia="Georgia" w:hAnsi="Georgia"/>
          <w:b/>
          <w:bCs/>
          <w:color w:val="1B2E4A"/>
          <w:sz w:val="24"/>
          <w:szCs w:val="24"/>
        </w:rPr>
        <w:t xml:space="preserve">Restated statement of cash flows</w:t>
      </w:r>
    </w:p>
    <w:p>
      <w:pPr>
        <w:spacing w:after="100" w:before="200"/>
      </w:pPr>
      <w:r>
        <w:rPr>
          <w:rFonts w:ascii="Georgia" w:cs="Georgia" w:eastAsia="Georgia" w:hAnsi="Georgia"/>
          <w:b/>
          <w:bCs/>
          <w:color w:val="1B2E4A"/>
          <w:sz w:val="24"/>
          <w:szCs w:val="24"/>
        </w:rPr>
        <w:t xml:space="preserve">Accounting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Ratio</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FY25</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Basic earnings per equity share (INR)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9.77</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Diluted earnings per equity share (INR)</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9.77</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sz w:val="18"/>
                <w:szCs w:val="18"/>
              </w:rPr>
              <w:t xml:space="preserve">Revenue compound annual growth rate (FY23, FY24, FY25)</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sz w:val="18"/>
                <w:szCs w:val="18"/>
              </w:rPr>
              <w:t xml:space="preserve">73.00%</w:t>
            </w:r>
          </w:p>
        </w:tc>
      </w:tr>
    </w:tbl>
    <w:p>
      <w:pPr>
        <w:spacing w:after="80"/>
      </w:pPr>
    </w:p>
    <w:p>
      <w:pPr>
        <w:spacing w:after="100" w:before="200"/>
      </w:pPr>
      <w:r>
        <w:rPr>
          <w:rFonts w:ascii="Georgia" w:cs="Georgia" w:eastAsia="Georgia" w:hAnsi="Georgia"/>
          <w:b/>
          <w:bCs/>
          <w:color w:val="1B2E4A"/>
          <w:sz w:val="24"/>
          <w:szCs w:val="24"/>
        </w:rPr>
        <w:t xml:space="preserve">Auditor's examination report</w:t>
      </w:r>
    </w:p>
    <w:p>
      <w:pPr>
        <w:spacing w:after="140" w:line="276"/>
        <w:jc w:val="both"/>
      </w:pPr>
      <w:r>
        <w:rPr>
          <w:rFonts w:ascii="Georgia" w:cs="Georgia" w:eastAsia="Georgia" w:hAnsi="Georgia"/>
          <w:sz w:val="21"/>
          <w:szCs w:val="21"/>
        </w:rPr>
        <w:t xml:space="preserve">The Restated Financial Statements have been examined by M/s. Himanshu Mohta &amp; Associates, Chartered Accountants (Peer Review Auditor), the peer-reviewed statutory auditor of the Company, whose examination report is dated 17 September 2025. The examination report, together with the Restated Financial Statements and the annexures thereto, is set out in this chapter.</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complete restated statement of assets and liabilities, statement of profit and loss and statement of cash flows, together with the significant accounting policies, the notes to accounts, the statement of restatement adjustments and the related-party schedule, must be annexed as certified by the peer-reviewed auditor. The summary tables above are a navigational extract and do not substitute for the certified statements.</w:t>
      </w:r>
    </w:p>
    <w:p>
      <w:pPr>
        <w:spacing w:after="40" w:before="200"/>
      </w:pPr>
      <w:r>
        <w:rPr>
          <w:rFonts w:ascii="Calibri" w:cs="Calibri" w:eastAsia="Calibri" w:hAnsi="Calibri"/>
          <w:b/>
          <w:bCs/>
          <w:color w:val="9C6B1E"/>
          <w:sz w:val="16"/>
          <w:szCs w:val="16"/>
        </w:rPr>
        <w:t xml:space="preserve">CHAPTER V.2</w:t>
      </w:r>
    </w:p>
    <w:p>
      <w:pPr>
        <w:spacing w:after="40"/>
      </w:pPr>
      <w:r>
        <w:rPr>
          <w:rFonts w:ascii="Georgia" w:cs="Georgia" w:eastAsia="Georgia" w:hAnsi="Georgia"/>
          <w:b/>
          <w:bCs/>
          <w:color w:val="1B2E4A"/>
          <w:sz w:val="26"/>
          <w:szCs w:val="26"/>
        </w:rPr>
        <w:t xml:space="preserve">Management's Discussion and Analysis of Financial Condition and Results of Operations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R10.1, R10.2</w:t>
      </w:r>
    </w:p>
    <w:p>
      <w:pPr>
        <w:spacing w:after="100" w:before="200"/>
      </w:pPr>
      <w:r>
        <w:rPr>
          <w:rFonts w:ascii="Georgia" w:cs="Georgia" w:eastAsia="Georgia" w:hAnsi="Georgia"/>
          <w:b/>
          <w:bCs/>
          <w:color w:val="1B2E4A"/>
          <w:sz w:val="24"/>
          <w:szCs w:val="24"/>
        </w:rPr>
        <w:t xml:space="preserve">Basis of preparation</w:t>
      </w:r>
    </w:p>
    <w:p>
      <w:pPr>
        <w:spacing w:after="140" w:line="276"/>
        <w:jc w:val="both"/>
      </w:pPr>
      <w:r>
        <w:rPr>
          <w:rFonts w:ascii="Georgia" w:cs="Georgia" w:eastAsia="Georgia" w:hAnsi="Georgia"/>
          <w:sz w:val="21"/>
          <w:szCs w:val="21"/>
        </w:rPr>
        <w:t xml:space="preserve">The following discussion of the financial condition and results of operations of the Company should be read together with the Restated Financial Statements for the financial years FY23, FY24, FY25 and the notes thereto, which appear elsewhere in this Draft Red Herring Prospectus. The Restated Financial Statements have been prepared in accordance with the Companies Act and restated in accordance with the ICDR Regulations. This discussion contains forward-looking statements that involve risks and uncertainties, and should be read together with "Risk Factors" and "Forward-Looking Statements".</w:t>
      </w:r>
    </w:p>
    <w:p>
      <w:pPr>
        <w:spacing w:after="100" w:before="200"/>
      </w:pPr>
      <w:r>
        <w:rPr>
          <w:rFonts w:ascii="Georgia" w:cs="Georgia" w:eastAsia="Georgia" w:hAnsi="Georgia"/>
          <w:b/>
          <w:bCs/>
          <w:color w:val="1B2E4A"/>
          <w:sz w:val="24"/>
          <w:szCs w:val="24"/>
        </w:rPr>
        <w:t xml:space="preserve">Significant factors affecting our results of operations</w:t>
      </w:r>
    </w:p>
    <w:p>
      <w:pPr>
        <w:spacing w:after="140" w:line="276"/>
        <w:jc w:val="both"/>
      </w:pPr>
      <w:r>
        <w:rPr>
          <w:rFonts w:ascii="Georgia" w:cs="Georgia" w:eastAsia="Georgia" w:hAnsi="Georgia"/>
          <w:sz w:val="21"/>
          <w:szCs w:val="21"/>
        </w:rPr>
        <w:t xml:space="preserve">[· to be supplied: mda drivers ·]</w:t>
      </w:r>
    </w:p>
    <w:p>
      <w:pPr>
        <w:spacing w:after="100" w:before="200"/>
      </w:pPr>
      <w:r>
        <w:rPr>
          <w:rFonts w:ascii="Georgia" w:cs="Georgia" w:eastAsia="Georgia" w:hAnsi="Georgia"/>
          <w:b/>
          <w:bCs/>
          <w:color w:val="1B2E4A"/>
          <w:sz w:val="24"/>
          <w:szCs w:val="24"/>
        </w:rPr>
        <w:t xml:space="preserve">Results of operations</w:t>
      </w:r>
    </w:p>
    <w:p>
      <w:pPr>
        <w:spacing w:after="140" w:line="276"/>
        <w:jc w:val="both"/>
      </w:pPr>
      <w:r>
        <w:rPr>
          <w:rFonts w:ascii="Georgia" w:cs="Georgia" w:eastAsia="Georgia" w:hAnsi="Georgia"/>
          <w:sz w:val="21"/>
          <w:szCs w:val="21"/>
        </w:rPr>
        <w:t xml:space="preserve">Revenue from operations increased from INR 47.59 crore in FY23 to INR 142.44 crore in FY25, representing a compound annual growth rate of 73.00% over the period. Earnings before interest, tax, depreciation and amortisation moved from INR [· to be supplied: ebitdaFirst ·] crore to INR [· to be supplied: ebitdaLatest ·] crore over the same period, and profit after tax from INR 0.58 crore to INR 15.85 crore. The movements in each period are attributable to the factors described above and should be read together with the year-on-year table set out in this chapter.</w:t>
      </w:r>
    </w:p>
    <w:p>
      <w:pPr>
        <w:spacing w:after="140" w:line="276"/>
        <w:jc w:val="both"/>
      </w:pPr>
      <w:r>
        <w:rPr>
          <w:rFonts w:ascii="Georgia" w:cs="Georgia" w:eastAsia="Georgia" w:hAnsi="Georgia"/>
          <w:sz w:val="21"/>
          <w:szCs w:val="21"/>
        </w:rPr>
        <w:t xml:space="preserve">The Company's net worth increased from INR [· to be supplied: networthFirst ·] crore as at the end of FY23 to INR [· to be supplied: networthLatest ·] crore as at the end of FY25, reflecting the retention of profits over the period. The Company has not declared any dividend during the periods under review.</w:t>
      </w:r>
    </w:p>
    <w:p>
      <w:pPr>
        <w:spacing w:after="100" w:before="200"/>
      </w:pPr>
      <w:r>
        <w:rPr>
          <w:rFonts w:ascii="Georgia" w:cs="Georgia" w:eastAsia="Georgia" w:hAnsi="Georgia"/>
          <w:b/>
          <w:bCs/>
          <w:color w:val="1B2E4A"/>
          <w:sz w:val="24"/>
          <w:szCs w:val="24"/>
        </w:rPr>
        <w:t xml:space="preserve">Liquidity and capital resources</w:t>
      </w:r>
    </w:p>
    <w:p>
      <w:pPr>
        <w:spacing w:after="140" w:line="276"/>
        <w:jc w:val="both"/>
      </w:pPr>
      <w:r>
        <w:rPr>
          <w:rFonts w:ascii="Georgia" w:cs="Georgia" w:eastAsia="Georgia" w:hAnsi="Georgia"/>
          <w:sz w:val="21"/>
          <w:szCs w:val="21"/>
        </w:rPr>
        <w:t xml:space="preserve">Following the Issue, the Company expects to apply the Net Proceeds to the objects described under "Objects of the Issue". The Company's ability to meet its ongoing working-capital requirements will continue to depend on its operating cash flows and on the availability of its existing credit facilities.</w:t>
      </w:r>
    </w:p>
    <w:p>
      <w:pPr>
        <w:spacing w:after="100" w:before="200"/>
      </w:pPr>
      <w:r>
        <w:rPr>
          <w:rFonts w:ascii="Georgia" w:cs="Georgia" w:eastAsia="Georgia" w:hAnsi="Georgia"/>
          <w:b/>
          <w:bCs/>
          <w:color w:val="1B2E4A"/>
          <w:sz w:val="24"/>
          <w:szCs w:val="24"/>
        </w:rPr>
        <w:t xml:space="preserve">Known trends and uncertainties</w:t>
      </w:r>
    </w:p>
    <w:p>
      <w:pPr>
        <w:spacing w:after="140" w:line="276"/>
        <w:jc w:val="both"/>
      </w:pPr>
      <w:r>
        <w:rPr>
          <w:rFonts w:ascii="Georgia" w:cs="Georgia" w:eastAsia="Georgia" w:hAnsi="Georgia"/>
          <w:sz w:val="21"/>
          <w:szCs w:val="21"/>
        </w:rPr>
        <w:t xml:space="preserve">Save as described under "Risk Factors" and in this chapter, the Company is not aware of any trend, commitment, event or uncertainty that is expected to have a material adverse effect on its revenue from operations or on its profitability. The Company's results remain sensitive to the demand and input-cost factors described above.</w:t>
      </w:r>
    </w:p>
    <w:p>
      <w:pPr>
        <w:spacing w:after="40" w:before="200"/>
      </w:pPr>
      <w:r>
        <w:rPr>
          <w:rFonts w:ascii="Calibri" w:cs="Calibri" w:eastAsia="Calibri" w:hAnsi="Calibri"/>
          <w:b/>
          <w:bCs/>
          <w:color w:val="9C6B1E"/>
          <w:sz w:val="16"/>
          <w:szCs w:val="16"/>
        </w:rPr>
        <w:t xml:space="preserve">CHAPTER V.3</w:t>
      </w:r>
    </w:p>
    <w:p>
      <w:pPr>
        <w:spacing w:after="40"/>
      </w:pPr>
      <w:r>
        <w:rPr>
          <w:rFonts w:ascii="Georgia" w:cs="Georgia" w:eastAsia="Georgia" w:hAnsi="Georgia"/>
          <w:b/>
          <w:bCs/>
          <w:color w:val="1B2E4A"/>
          <w:sz w:val="26"/>
          <w:szCs w:val="26"/>
        </w:rPr>
        <w:t xml:space="preserve">Financial Indebtedness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R10.3</w:t>
      </w:r>
    </w:p>
    <w:p>
      <w:pPr>
        <w:spacing w:after="100" w:before="200"/>
      </w:pPr>
      <w:r>
        <w:rPr>
          <w:rFonts w:ascii="Georgia" w:cs="Georgia" w:eastAsia="Georgia" w:hAnsi="Georgia"/>
          <w:b/>
          <w:bCs/>
          <w:color w:val="1B2E4A"/>
          <w:sz w:val="24"/>
          <w:szCs w:val="24"/>
        </w:rPr>
        <w:t xml:space="preserve">Principal lenders and security</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the Company's lenders and the security created.</w:t>
      </w:r>
    </w:p>
    <w:p>
      <w:pPr>
        <w:spacing w:after="40"/>
        <w:ind w:left="460"/>
      </w:pPr>
      <w:r>
        <w:rPr>
          <w:rFonts w:ascii="Calibri" w:cs="Calibri" w:eastAsia="Calibri" w:hAnsi="Calibri"/>
          <w:color w:val="5B6472"/>
          <w:sz w:val="17"/>
          <w:szCs w:val="17"/>
        </w:rPr>
        <w:t xml:space="preserve">–  Name of each lender and the nature of the facility</w:t>
      </w:r>
    </w:p>
    <w:p>
      <w:pPr>
        <w:spacing w:after="40"/>
        <w:ind w:left="460"/>
      </w:pPr>
      <w:r>
        <w:rPr>
          <w:rFonts w:ascii="Calibri" w:cs="Calibri" w:eastAsia="Calibri" w:hAnsi="Calibri"/>
          <w:color w:val="5B6472"/>
          <w:sz w:val="17"/>
          <w:szCs w:val="17"/>
        </w:rPr>
        <w:t xml:space="preserve">–  Sanctioned amount and amount outstanding</w:t>
      </w:r>
    </w:p>
    <w:p>
      <w:pPr>
        <w:spacing w:after="40"/>
        <w:ind w:left="460"/>
      </w:pPr>
      <w:r>
        <w:rPr>
          <w:rFonts w:ascii="Calibri" w:cs="Calibri" w:eastAsia="Calibri" w:hAnsi="Calibri"/>
          <w:color w:val="5B6472"/>
          <w:sz w:val="17"/>
          <w:szCs w:val="17"/>
        </w:rPr>
        <w:t xml:space="preserve">–  Security created in favour of each lender</w:t>
      </w:r>
    </w:p>
    <w:p>
      <w:pPr>
        <w:spacing w:after="100" w:before="200"/>
      </w:pPr>
      <w:r>
        <w:rPr>
          <w:rFonts w:ascii="Georgia" w:cs="Georgia" w:eastAsia="Georgia" w:hAnsi="Georgia"/>
          <w:b/>
          <w:bCs/>
          <w:color w:val="1B2E4A"/>
          <w:sz w:val="24"/>
          <w:szCs w:val="24"/>
        </w:rPr>
        <w:t xml:space="preserve">Material terms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Material terms of the Company's borrowings.</w:t>
      </w:r>
    </w:p>
    <w:p>
      <w:pPr>
        <w:spacing w:after="40"/>
        <w:ind w:left="460"/>
      </w:pPr>
      <w:r>
        <w:rPr>
          <w:rFonts w:ascii="Calibri" w:cs="Calibri" w:eastAsia="Calibri" w:hAnsi="Calibri"/>
          <w:color w:val="5B6472"/>
          <w:sz w:val="17"/>
          <w:szCs w:val="17"/>
        </w:rPr>
        <w:t xml:space="preserve">–  Rate of interest applicable to each facility</w:t>
      </w:r>
    </w:p>
    <w:p>
      <w:pPr>
        <w:spacing w:after="40"/>
        <w:ind w:left="460"/>
      </w:pPr>
      <w:r>
        <w:rPr>
          <w:rFonts w:ascii="Calibri" w:cs="Calibri" w:eastAsia="Calibri" w:hAnsi="Calibri"/>
          <w:color w:val="5B6472"/>
          <w:sz w:val="17"/>
          <w:szCs w:val="17"/>
        </w:rPr>
        <w:t xml:space="preserve">–  Repayment schedule and tenor</w:t>
      </w:r>
    </w:p>
    <w:p>
      <w:pPr>
        <w:spacing w:after="40"/>
        <w:ind w:left="460"/>
      </w:pPr>
      <w:r>
        <w:rPr>
          <w:rFonts w:ascii="Calibri" w:cs="Calibri" w:eastAsia="Calibri" w:hAnsi="Calibri"/>
          <w:color w:val="5B6472"/>
          <w:sz w:val="17"/>
          <w:szCs w:val="17"/>
        </w:rPr>
        <w:t xml:space="preserve">–  Restrictive covenants and events of default</w:t>
      </w:r>
    </w:p>
    <w:p>
      <w:pPr>
        <w:pBdr>
          <w:bottom w:val="single" w:color="1B2E4A" w:sz="18" w:space="4"/>
        </w:pBdr>
        <w:spacing w:after="120" w:before="240"/>
      </w:pPr>
      <w:r>
        <w:rPr>
          <w:rFonts w:ascii="Georgia" w:cs="Georgia" w:eastAsia="Georgia" w:hAnsi="Georgia"/>
          <w:b/>
          <w:bCs/>
          <w:caps/>
          <w:color w:val="1B2E4A"/>
          <w:sz w:val="28"/>
          <w:szCs w:val="28"/>
        </w:rPr>
        <w:t xml:space="preserve">Section VI — Legal and Other Information</w:t>
      </w:r>
    </w:p>
    <w:p>
      <w:pPr>
        <w:spacing w:after="40" w:before="200"/>
      </w:pPr>
      <w:r>
        <w:rPr>
          <w:rFonts w:ascii="Calibri" w:cs="Calibri" w:eastAsia="Calibri" w:hAnsi="Calibri"/>
          <w:b/>
          <w:bCs/>
          <w:color w:val="9C6B1E"/>
          <w:sz w:val="16"/>
          <w:szCs w:val="16"/>
        </w:rPr>
        <w:t xml:space="preserve">CHAPTER VI.1</w:t>
      </w:r>
    </w:p>
    <w:p>
      <w:pPr>
        <w:spacing w:after="40"/>
      </w:pPr>
      <w:r>
        <w:rPr>
          <w:rFonts w:ascii="Georgia" w:cs="Georgia" w:eastAsia="Georgia" w:hAnsi="Georgia"/>
          <w:b/>
          <w:bCs/>
          <w:color w:val="1B2E4A"/>
          <w:sz w:val="26"/>
          <w:szCs w:val="26"/>
        </w:rPr>
        <w:t xml:space="preserve">Outstanding Litigation and Material Developments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R3.4, R6.3</w:t>
      </w:r>
    </w:p>
    <w:p>
      <w:pPr>
        <w:spacing w:after="140" w:line="276"/>
        <w:jc w:val="both"/>
      </w:pPr>
      <w:r>
        <w:rPr>
          <w:rFonts w:ascii="Georgia" w:cs="Georgia" w:eastAsia="Georgia" w:hAnsi="Georgia"/>
          <w:sz w:val="21"/>
          <w:szCs w:val="21"/>
        </w:rPr>
        <w:t xml:space="preserve">Set out below are the outstanding legal proceedings involving the Company, its Directors and its Promoters, and the material developments since the date of the Restated Financial Statements, in each case as disclosed by the Company. The disclosure is made on the basis of the materiality policy adopted by the Board of Directors.</w:t>
      </w:r>
    </w:p>
    <w:p>
      <w:pPr>
        <w:spacing w:after="100" w:before="200"/>
      </w:pPr>
      <w:r>
        <w:rPr>
          <w:rFonts w:ascii="Georgia" w:cs="Georgia" w:eastAsia="Georgia" w:hAnsi="Georgia"/>
          <w:b/>
          <w:bCs/>
          <w:color w:val="1B2E4A"/>
          <w:sz w:val="24"/>
          <w:szCs w:val="24"/>
        </w:rPr>
        <w:t xml:space="preserve">Outstanding litigation involving the Company</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outstanding litigation involving the Company, its Directors and its Promoters.</w:t>
      </w:r>
    </w:p>
    <w:p>
      <w:pPr>
        <w:spacing w:after="40"/>
        <w:ind w:left="460"/>
      </w:pPr>
      <w:r>
        <w:rPr>
          <w:rFonts w:ascii="Calibri" w:cs="Calibri" w:eastAsia="Calibri" w:hAnsi="Calibri"/>
          <w:color w:val="5B6472"/>
          <w:sz w:val="17"/>
          <w:szCs w:val="17"/>
        </w:rPr>
        <w:t xml:space="preserve">–  Every civil, criminal, tax and regulatory proceeding involving the Company</w:t>
      </w:r>
    </w:p>
    <w:p>
      <w:pPr>
        <w:spacing w:after="40"/>
        <w:ind w:left="460"/>
      </w:pPr>
      <w:r>
        <w:rPr>
          <w:rFonts w:ascii="Calibri" w:cs="Calibri" w:eastAsia="Calibri" w:hAnsi="Calibri"/>
          <w:color w:val="5B6472"/>
          <w:sz w:val="17"/>
          <w:szCs w:val="17"/>
        </w:rPr>
        <w:t xml:space="preserve">–  Proceedings involving the Directors and the Promoters in their personal capacity</w:t>
      </w:r>
    </w:p>
    <w:p>
      <w:pPr>
        <w:spacing w:after="40"/>
        <w:ind w:left="460"/>
      </w:pPr>
      <w:r>
        <w:rPr>
          <w:rFonts w:ascii="Calibri" w:cs="Calibri" w:eastAsia="Calibri" w:hAnsi="Calibri"/>
          <w:color w:val="5B6472"/>
          <w:sz w:val="17"/>
          <w:szCs w:val="17"/>
        </w:rPr>
        <w:t xml:space="preserve">–  The forum, the amount involved and the present status of each proceeding</w:t>
      </w:r>
    </w:p>
    <w:p>
      <w:pPr>
        <w:spacing w:after="100" w:before="200"/>
      </w:pPr>
      <w:r>
        <w:rPr>
          <w:rFonts w:ascii="Georgia" w:cs="Georgia" w:eastAsia="Georgia" w:hAnsi="Georgia"/>
          <w:b/>
          <w:bCs/>
          <w:color w:val="1B2E4A"/>
          <w:sz w:val="24"/>
          <w:szCs w:val="24"/>
        </w:rPr>
        <w:t xml:space="preserve">Tax proceedings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outstanding direct and indirect tax proceedings.</w:t>
      </w:r>
    </w:p>
    <w:p>
      <w:pPr>
        <w:spacing w:after="40"/>
        <w:ind w:left="460"/>
      </w:pPr>
      <w:r>
        <w:rPr>
          <w:rFonts w:ascii="Calibri" w:cs="Calibri" w:eastAsia="Calibri" w:hAnsi="Calibri"/>
          <w:color w:val="5B6472"/>
          <w:sz w:val="17"/>
          <w:szCs w:val="17"/>
        </w:rPr>
        <w:t xml:space="preserve">–  Direct tax proceedings, with the assessment year and the amount demanded</w:t>
      </w:r>
    </w:p>
    <w:p>
      <w:pPr>
        <w:spacing w:after="40"/>
        <w:ind w:left="460"/>
      </w:pPr>
      <w:r>
        <w:rPr>
          <w:rFonts w:ascii="Calibri" w:cs="Calibri" w:eastAsia="Calibri" w:hAnsi="Calibri"/>
          <w:color w:val="5B6472"/>
          <w:sz w:val="17"/>
          <w:szCs w:val="17"/>
        </w:rPr>
        <w:t xml:space="preserve">–  Indirect tax proceedings, including goods and services tax matters, with the period and amount</w:t>
      </w:r>
    </w:p>
    <w:p>
      <w:pPr>
        <w:spacing w:after="40"/>
        <w:ind w:left="460"/>
      </w:pPr>
      <w:r>
        <w:rPr>
          <w:rFonts w:ascii="Calibri" w:cs="Calibri" w:eastAsia="Calibri" w:hAnsi="Calibri"/>
          <w:color w:val="5B6472"/>
          <w:sz w:val="17"/>
          <w:szCs w:val="17"/>
        </w:rPr>
        <w:t xml:space="preserve">–  The forum before which each matter is pending</w:t>
      </w:r>
    </w:p>
    <w:p>
      <w:pPr>
        <w:spacing w:after="100" w:before="200"/>
      </w:pPr>
      <w:r>
        <w:rPr>
          <w:rFonts w:ascii="Georgia" w:cs="Georgia" w:eastAsia="Georgia" w:hAnsi="Georgia"/>
          <w:b/>
          <w:bCs/>
          <w:color w:val="1B2E4A"/>
          <w:sz w:val="24"/>
          <w:szCs w:val="24"/>
        </w:rPr>
        <w:t xml:space="preserve">Material developments</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Material developments since the date of the Restated Financial Statements.</w:t>
      </w:r>
    </w:p>
    <w:p>
      <w:pPr>
        <w:spacing w:after="40"/>
        <w:ind w:left="460"/>
      </w:pPr>
      <w:r>
        <w:rPr>
          <w:rFonts w:ascii="Calibri" w:cs="Calibri" w:eastAsia="Calibri" w:hAnsi="Calibri"/>
          <w:color w:val="5B6472"/>
          <w:sz w:val="17"/>
          <w:szCs w:val="17"/>
        </w:rPr>
        <w:t xml:space="preserve">–  Any circumstance since the last financial statements that materially affects the Company's trading or profitability</w:t>
      </w:r>
    </w:p>
    <w:p>
      <w:pPr>
        <w:spacing w:after="40"/>
        <w:ind w:left="460"/>
      </w:pPr>
      <w:r>
        <w:rPr>
          <w:rFonts w:ascii="Calibri" w:cs="Calibri" w:eastAsia="Calibri" w:hAnsi="Calibri"/>
          <w:color w:val="5B6472"/>
          <w:sz w:val="17"/>
          <w:szCs w:val="17"/>
        </w:rPr>
        <w:t xml:space="preserve">–  Any change in the value of the Company's assets or liabilities</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materiality policy adopted by the Board, the certificate of the Company's legal counsel listing all outstanding proceedings, and confirmations from each Director and Promoter as to proceedings in their personal capacity must be obtained and verified. A proceeding referenced anywhere in the issuer's records but omitted from this chapter is treated by the exchange as a material non-disclosure.</w:t>
      </w:r>
    </w:p>
    <w:p>
      <w:pPr>
        <w:spacing w:after="40" w:before="200"/>
      </w:pPr>
      <w:r>
        <w:rPr>
          <w:rFonts w:ascii="Calibri" w:cs="Calibri" w:eastAsia="Calibri" w:hAnsi="Calibri"/>
          <w:b/>
          <w:bCs/>
          <w:color w:val="9C6B1E"/>
          <w:sz w:val="16"/>
          <w:szCs w:val="16"/>
        </w:rPr>
        <w:t xml:space="preserve">CHAPTER VI.2</w:t>
      </w:r>
    </w:p>
    <w:p>
      <w:pPr>
        <w:spacing w:after="40"/>
      </w:pPr>
      <w:r>
        <w:rPr>
          <w:rFonts w:ascii="Georgia" w:cs="Georgia" w:eastAsia="Georgia" w:hAnsi="Georgia"/>
          <w:b/>
          <w:bCs/>
          <w:color w:val="1B2E4A"/>
          <w:sz w:val="26"/>
          <w:szCs w:val="26"/>
        </w:rPr>
        <w:t xml:space="preserve">Government and Other Approvals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R11.1</w:t>
      </w:r>
    </w:p>
    <w:p>
      <w:pPr>
        <w:spacing w:after="100" w:before="200"/>
      </w:pPr>
      <w:r>
        <w:rPr>
          <w:rFonts w:ascii="Georgia" w:cs="Georgia" w:eastAsia="Georgia" w:hAnsi="Georgia"/>
          <w:b/>
          <w:bCs/>
          <w:color w:val="1B2E4A"/>
          <w:sz w:val="24"/>
          <w:szCs w:val="24"/>
        </w:rPr>
        <w:t xml:space="preserve">Approvals and licences held by the Company</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Particulars of the statutory approvals and licences held by the Company.</w:t>
      </w:r>
    </w:p>
    <w:p>
      <w:pPr>
        <w:spacing w:after="40"/>
        <w:ind w:left="460"/>
      </w:pPr>
      <w:r>
        <w:rPr>
          <w:rFonts w:ascii="Calibri" w:cs="Calibri" w:eastAsia="Calibri" w:hAnsi="Calibri"/>
          <w:color w:val="5B6472"/>
          <w:sz w:val="17"/>
          <w:szCs w:val="17"/>
        </w:rPr>
        <w:t xml:space="preserve">–  Every licence, consent, registration and approval held, with its issuing authority</w:t>
      </w:r>
    </w:p>
    <w:p>
      <w:pPr>
        <w:spacing w:after="40"/>
        <w:ind w:left="460"/>
      </w:pPr>
      <w:r>
        <w:rPr>
          <w:rFonts w:ascii="Calibri" w:cs="Calibri" w:eastAsia="Calibri" w:hAnsi="Calibri"/>
          <w:color w:val="5B6472"/>
          <w:sz w:val="17"/>
          <w:szCs w:val="17"/>
        </w:rPr>
        <w:t xml:space="preserve">–  The reference number and the date of expiry of each approval</w:t>
      </w:r>
    </w:p>
    <w:p>
      <w:pPr>
        <w:spacing w:after="100" w:before="200"/>
      </w:pPr>
      <w:r>
        <w:rPr>
          <w:rFonts w:ascii="Georgia" w:cs="Georgia" w:eastAsia="Georgia" w:hAnsi="Georgia"/>
          <w:b/>
          <w:bCs/>
          <w:color w:val="1B2E4A"/>
          <w:sz w:val="24"/>
          <w:szCs w:val="24"/>
        </w:rPr>
        <w:t xml:space="preserve">Approvals applied for or yet to be obtained</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Approvals applied for but not yet received, and approvals yet to be applied for.</w:t>
      </w:r>
    </w:p>
    <w:p>
      <w:pPr>
        <w:spacing w:after="40"/>
        <w:ind w:left="460"/>
      </w:pPr>
      <w:r>
        <w:rPr>
          <w:rFonts w:ascii="Calibri" w:cs="Calibri" w:eastAsia="Calibri" w:hAnsi="Calibri"/>
          <w:color w:val="5B6472"/>
          <w:sz w:val="17"/>
          <w:szCs w:val="17"/>
        </w:rPr>
        <w:t xml:space="preserve">–  Approvals required for the objects of the Issue that have not yet been obtained</w:t>
      </w:r>
    </w:p>
    <w:p>
      <w:pPr>
        <w:spacing w:after="40"/>
        <w:ind w:left="460"/>
      </w:pPr>
      <w:r>
        <w:rPr>
          <w:rFonts w:ascii="Calibri" w:cs="Calibri" w:eastAsia="Calibri" w:hAnsi="Calibri"/>
          <w:color w:val="5B6472"/>
          <w:sz w:val="17"/>
          <w:szCs w:val="17"/>
        </w:rPr>
        <w:t xml:space="preserve">–  The date of application and the present status of each</w:t>
      </w:r>
    </w:p>
    <w:p>
      <w:pPr>
        <w:spacing w:after="40" w:before="200"/>
      </w:pPr>
      <w:r>
        <w:rPr>
          <w:rFonts w:ascii="Calibri" w:cs="Calibri" w:eastAsia="Calibri" w:hAnsi="Calibri"/>
          <w:b/>
          <w:bCs/>
          <w:color w:val="9C6B1E"/>
          <w:sz w:val="16"/>
          <w:szCs w:val="16"/>
        </w:rPr>
        <w:t xml:space="preserve">CHAPTER VI.3</w:t>
      </w:r>
    </w:p>
    <w:p>
      <w:pPr>
        <w:spacing w:after="40"/>
      </w:pPr>
      <w:r>
        <w:rPr>
          <w:rFonts w:ascii="Georgia" w:cs="Georgia" w:eastAsia="Georgia" w:hAnsi="Georgia"/>
          <w:b/>
          <w:bCs/>
          <w:color w:val="1B2E4A"/>
          <w:sz w:val="26"/>
          <w:szCs w:val="26"/>
        </w:rPr>
        <w:t xml:space="preserve">Other Regulatory and Statutory Disclosures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R11.3, R12.3</w:t>
      </w:r>
    </w:p>
    <w:p>
      <w:pPr>
        <w:spacing w:after="100" w:before="200"/>
      </w:pPr>
      <w:r>
        <w:rPr>
          <w:rFonts w:ascii="Georgia" w:cs="Georgia" w:eastAsia="Georgia" w:hAnsi="Georgia"/>
          <w:b/>
          <w:bCs/>
          <w:color w:val="1B2E4A"/>
          <w:sz w:val="24"/>
          <w:szCs w:val="24"/>
        </w:rPr>
        <w:t xml:space="preserve">Authority for the Issue</w:t>
      </w:r>
    </w:p>
    <w:p>
      <w:pPr>
        <w:spacing w:after="140" w:line="276"/>
        <w:jc w:val="both"/>
      </w:pPr>
      <w:r>
        <w:rPr>
          <w:rFonts w:ascii="Georgia" w:cs="Georgia" w:eastAsia="Georgia" w:hAnsi="Georgia"/>
          <w:sz w:val="21"/>
          <w:szCs w:val="21"/>
        </w:rPr>
        <w:t xml:space="preserve">The Issue has been authorised by a resolution of the Board of Directors of the Company and by a special resolution of the shareholders passed under section 62(1)(c) of the Companies Act. The particulars and dates of those resolutions are to be inserted by the merchant banker from the Company's statutory records.</w:t>
      </w:r>
    </w:p>
    <w:p>
      <w:pPr>
        <w:spacing w:after="100" w:before="200"/>
      </w:pPr>
      <w:r>
        <w:rPr>
          <w:rFonts w:ascii="Georgia" w:cs="Georgia" w:eastAsia="Georgia" w:hAnsi="Georgia"/>
          <w:b/>
          <w:bCs/>
          <w:color w:val="1B2E4A"/>
          <w:sz w:val="24"/>
          <w:szCs w:val="24"/>
        </w:rPr>
        <w:t xml:space="preserve">Prohibition by SEBI or other governmental authorities</w:t>
      </w:r>
    </w:p>
    <w:p>
      <w:pPr>
        <w:spacing w:after="140" w:line="276"/>
        <w:jc w:val="both"/>
      </w:pPr>
      <w:r>
        <w:rPr>
          <w:rFonts w:ascii="Georgia" w:cs="Georgia" w:eastAsia="Georgia" w:hAnsi="Georgia"/>
          <w:sz w:val="21"/>
          <w:szCs w:val="21"/>
        </w:rPr>
        <w:t xml:space="preserve">The Company, its Promoters, the members of the Promoter Group, its Directors, and the persons in control of the Company are required to confirm that they are not prohibited from accessing or operating in the capital markets under any order or direction passed by SEBI or any other authority, and that they are not declared as wilful defaulters or fraudulent borrowers. These confirmations are obtained and verified by the Lead Manager during due diligence.</w:t>
      </w:r>
    </w:p>
    <w:p>
      <w:pPr>
        <w:spacing w:after="100" w:before="200"/>
      </w:pPr>
      <w:r>
        <w:rPr>
          <w:rFonts w:ascii="Georgia" w:cs="Georgia" w:eastAsia="Georgia" w:hAnsi="Georgia"/>
          <w:b/>
          <w:bCs/>
          <w:color w:val="1B2E4A"/>
          <w:sz w:val="24"/>
          <w:szCs w:val="24"/>
        </w:rPr>
        <w:t xml:space="preserve">Eligibility for the Issue</w:t>
      </w:r>
    </w:p>
    <w:p>
      <w:pPr>
        <w:spacing w:after="140" w:line="276"/>
        <w:jc w:val="both"/>
      </w:pPr>
      <w:r>
        <w:rPr>
          <w:rFonts w:ascii="Georgia" w:cs="Georgia" w:eastAsia="Georgia" w:hAnsi="Georgia"/>
          <w:sz w:val="21"/>
          <w:szCs w:val="21"/>
        </w:rPr>
        <w:t xml:space="preserve">The Company is eligible to make the Issue in accordance with Chapter IX of the ICDR Regulations, which governs the issue of specified securities by small and medium enterprises, and in accordance with the eligibility criteria prescribed by NSE Emerge. Compliance with each eligibility condition, including the conditions relating to net tangible assets, operating profit, net worth and the track record of the Company, must be established by the Lead Manager and certified in the due diligence certificate.</w:t>
      </w:r>
    </w:p>
    <w:p>
      <w:pPr>
        <w:spacing w:after="100" w:before="200"/>
      </w:pPr>
      <w:r>
        <w:rPr>
          <w:rFonts w:ascii="Georgia" w:cs="Georgia" w:eastAsia="Georgia" w:hAnsi="Georgia"/>
          <w:b/>
          <w:bCs/>
          <w:color w:val="1B2E4A"/>
          <w:sz w:val="24"/>
          <w:szCs w:val="24"/>
        </w:rPr>
        <w:t xml:space="preserve">Disclaimer clause of SEBI</w:t>
      </w:r>
    </w:p>
    <w:p>
      <w:pPr>
        <w:spacing w:after="140" w:line="276"/>
        <w:jc w:val="both"/>
      </w:pPr>
      <w:r>
        <w:rPr>
          <w:rFonts w:ascii="Georgia" w:cs="Georgia" w:eastAsia="Georgia" w:hAnsi="Georgia"/>
          <w:sz w:val="21"/>
          <w:szCs w:val="21"/>
        </w:rPr>
        <w:t xml:space="preserve">It is to be distinctly understood that the submission of this Draft Red Herring Prospectus to SEBI should not in any way be deemed or construed to mean that the same has been cleared or approved by SEBI. SEBI does not take any responsibility either for the financial soundness of any scheme or the project for which the Issue is proposed to be made, or for the correctness of the statements made or opinions expressed in this Draft Red Herring Prospectus.</w:t>
      </w:r>
    </w:p>
    <w:p>
      <w:pPr>
        <w:spacing w:after="100" w:before="200"/>
      </w:pPr>
      <w:r>
        <w:rPr>
          <w:rFonts w:ascii="Georgia" w:cs="Georgia" w:eastAsia="Georgia" w:hAnsi="Georgia"/>
          <w:b/>
          <w:bCs/>
          <w:color w:val="1B2E4A"/>
          <w:sz w:val="24"/>
          <w:szCs w:val="24"/>
        </w:rPr>
        <w:t xml:space="preserve">Disclaimer clause of the SME Platform</w:t>
      </w:r>
    </w:p>
    <w:p>
      <w:pPr>
        <w:spacing w:after="140" w:line="276"/>
        <w:jc w:val="both"/>
      </w:pPr>
      <w:r>
        <w:rPr>
          <w:rFonts w:ascii="Georgia" w:cs="Georgia" w:eastAsia="Georgia" w:hAnsi="Georgia"/>
          <w:sz w:val="21"/>
          <w:szCs w:val="21"/>
        </w:rPr>
        <w:t xml:space="preserve">It is to be distinctly understood that the permission given by NSE Emerge should not in any way be deemed or construed to mean that this Draft Red Herring Prospectus has been cleared or approved by it, nor does it certify the correctness or completeness of any of the contents of this Draft Red Herring Prospectus.</w:t>
      </w:r>
    </w:p>
    <w:p>
      <w:pPr>
        <w:spacing w:after="100" w:before="200"/>
      </w:pPr>
      <w:r>
        <w:rPr>
          <w:rFonts w:ascii="Georgia" w:cs="Georgia" w:eastAsia="Georgia" w:hAnsi="Georgia"/>
          <w:b/>
          <w:bCs/>
          <w:color w:val="1B2E4A"/>
          <w:sz w:val="24"/>
          <w:szCs w:val="24"/>
        </w:rPr>
        <w:t xml:space="preserve">Filing and listing</w:t>
      </w:r>
    </w:p>
    <w:p>
      <w:pPr>
        <w:spacing w:after="140" w:line="276"/>
        <w:jc w:val="both"/>
      </w:pPr>
      <w:r>
        <w:rPr>
          <w:rFonts w:ascii="Georgia" w:cs="Georgia" w:eastAsia="Georgia" w:hAnsi="Georgia"/>
          <w:sz w:val="21"/>
          <w:szCs w:val="21"/>
        </w:rPr>
        <w:t xml:space="preserve">This Draft Red Herring Prospectus is required to be filed with the SME Platform and with SEBI in accordance with the ICDR Regulations. Application will be made to NSE Emerge for permission to deal in and for an official quotation of the equity shares. If such permission is not granted, the Company will forthwith repay all monies received from applicants in accordance with applicable law.</w:t>
      </w:r>
    </w:p>
    <w:p>
      <w:pPr>
        <w:spacing w:after="100" w:before="200"/>
      </w:pPr>
      <w:r>
        <w:rPr>
          <w:rFonts w:ascii="Georgia" w:cs="Georgia" w:eastAsia="Georgia" w:hAnsi="Georgia"/>
          <w:b/>
          <w:bCs/>
          <w:color w:val="1B2E4A"/>
          <w:sz w:val="24"/>
          <w:szCs w:val="24"/>
        </w:rPr>
        <w:t xml:space="preserve">Consents</w:t>
      </w:r>
    </w:p>
    <w:p>
      <w:pPr>
        <w:spacing w:after="140" w:line="276"/>
        <w:jc w:val="both"/>
      </w:pPr>
      <w:r>
        <w:rPr>
          <w:rFonts w:ascii="Georgia" w:cs="Georgia" w:eastAsia="Georgia" w:hAnsi="Georgia"/>
          <w:sz w:val="21"/>
          <w:szCs w:val="21"/>
        </w:rPr>
        <w:t xml:space="preserve">Consents in writing of the Directors, the Company Secretary and Compliance Officer, the statutory auditor, the bankers to the Company, the Lead Manager, the Registrar to the Issue, the underwriter, the market maker and the legal advisor to act in their respective capacities are required to be obtained and filed together with a copy of the Prospectus with the Registrar of Companies.</w:t>
      </w:r>
    </w:p>
    <w:p>
      <w:pPr>
        <w:spacing w:after="100" w:before="200"/>
      </w:pPr>
      <w:r>
        <w:rPr>
          <w:rFonts w:ascii="Georgia" w:cs="Georgia" w:eastAsia="Georgia" w:hAnsi="Georgia"/>
          <w:b/>
          <w:bCs/>
          <w:color w:val="1B2E4A"/>
          <w:sz w:val="24"/>
          <w:szCs w:val="24"/>
        </w:rPr>
        <w:t xml:space="preserve">Previous public or rights issues and capital issues in the preceding three years</w:t>
      </w:r>
    </w:p>
    <w:p>
      <w:pPr>
        <w:spacing w:after="140" w:line="276"/>
        <w:jc w:val="both"/>
      </w:pPr>
      <w:r>
        <w:rPr>
          <w:rFonts w:ascii="Georgia" w:cs="Georgia" w:eastAsia="Georgia" w:hAnsi="Georgia"/>
          <w:sz w:val="21"/>
          <w:szCs w:val="21"/>
        </w:rPr>
        <w:t xml:space="preserve">The Company has not made any public issue or rights issue of equity shares in the three years preceding the date of this Draft Red Herring Prospectus. Details of the allotments made by the Company in that period are set out under "Capital Structure".</w:t>
      </w:r>
    </w:p>
    <w:p>
      <w:pPr>
        <w:spacing w:after="100" w:before="200"/>
      </w:pPr>
      <w:r>
        <w:rPr>
          <w:rFonts w:ascii="Georgia" w:cs="Georgia" w:eastAsia="Georgia" w:hAnsi="Georgia"/>
          <w:b/>
          <w:bCs/>
          <w:color w:val="1B2E4A"/>
          <w:sz w:val="24"/>
          <w:szCs w:val="24"/>
        </w:rPr>
        <w:t xml:space="preserve">Investor grievance and redressal</w:t>
      </w:r>
    </w:p>
    <w:p>
      <w:pPr>
        <w:spacing w:after="140" w:line="276"/>
        <w:jc w:val="both"/>
      </w:pPr>
      <w:r>
        <w:rPr>
          <w:rFonts w:ascii="Georgia" w:cs="Georgia" w:eastAsia="Georgia" w:hAnsi="Georgia"/>
          <w:sz w:val="21"/>
          <w:szCs w:val="21"/>
        </w:rPr>
        <w:t xml:space="preserve">Investors may contact the Company Secretary and Compliance Officer, Mrs. Navkiran Kaur, Company Secretary and Compliance Officer, or the Registrar to the Issue, [· to be supplied: registrar ·], in respect of any pre-Issue or post-Issue grievance including non-receipt of allotment advice, non-credit of allotted equity shares or non-unblocking of funds. All grievances may also be addressed to the Lead Manager, [· to be supplied: lead manager ·].</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Board and shareholder resolution dates, the eligibility computation under Chapter IX, and all written consents must be inserted and verified by the merchant banker before filing.</w:t>
      </w:r>
    </w:p>
    <w:p>
      <w:pPr>
        <w:pBdr>
          <w:bottom w:val="single" w:color="1B2E4A" w:sz="18" w:space="4"/>
        </w:pBdr>
        <w:spacing w:after="120" w:before="240"/>
      </w:pPr>
      <w:r>
        <w:rPr>
          <w:rFonts w:ascii="Georgia" w:cs="Georgia" w:eastAsia="Georgia" w:hAnsi="Georgia"/>
          <w:b/>
          <w:bCs/>
          <w:caps/>
          <w:color w:val="1B2E4A"/>
          <w:sz w:val="28"/>
          <w:szCs w:val="28"/>
        </w:rPr>
        <w:t xml:space="preserve">Section VII — Issue Related Information</w:t>
      </w:r>
    </w:p>
    <w:p>
      <w:pPr>
        <w:spacing w:after="40" w:before="200"/>
      </w:pPr>
      <w:r>
        <w:rPr>
          <w:rFonts w:ascii="Calibri" w:cs="Calibri" w:eastAsia="Calibri" w:hAnsi="Calibri"/>
          <w:b/>
          <w:bCs/>
          <w:color w:val="9C6B1E"/>
          <w:sz w:val="16"/>
          <w:szCs w:val="16"/>
        </w:rPr>
        <w:t xml:space="preserve">CHAPTER VII.1</w:t>
      </w:r>
    </w:p>
    <w:p>
      <w:pPr>
        <w:spacing w:after="40"/>
      </w:pPr>
      <w:r>
        <w:rPr>
          <w:rFonts w:ascii="Georgia" w:cs="Georgia" w:eastAsia="Georgia" w:hAnsi="Georgia"/>
          <w:b/>
          <w:bCs/>
          <w:color w:val="1B2E4A"/>
          <w:sz w:val="26"/>
          <w:szCs w:val="26"/>
        </w:rPr>
        <w:t xml:space="preserve">Terms of the Issue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R8.3, R8.5</w:t>
      </w:r>
    </w:p>
    <w:p>
      <w:pPr>
        <w:spacing w:after="140" w:line="276"/>
        <w:jc w:val="both"/>
      </w:pPr>
      <w:r>
        <w:rPr>
          <w:rFonts w:ascii="Georgia" w:cs="Georgia" w:eastAsia="Georgia" w:hAnsi="Georgia"/>
          <w:sz w:val="21"/>
          <w:szCs w:val="21"/>
        </w:rPr>
        <w:t xml:space="preserve">The equity shares being offered and allotted pursuant to the Issue will be subject to the provisions of the Companies Act, the ICDR Regulations, the SEBI Act, the Securities Contracts (Regulation) Act, 1956, the Memorandum and Articles of Association of the Company, the terms of this Draft Red Herring Prospectus, the Prospectus, the application form, the abridged prospectus, the Basis of Allotment, and any other terms and conditions as may be incorporated in the transaction documents or in approvals granted by the Government of India, SEBI or the SME Platform.</w:t>
      </w:r>
    </w:p>
    <w:p>
      <w:pPr>
        <w:spacing w:after="100" w:before="200"/>
      </w:pPr>
      <w:r>
        <w:rPr>
          <w:rFonts w:ascii="Georgia" w:cs="Georgia" w:eastAsia="Georgia" w:hAnsi="Georgia"/>
          <w:b/>
          <w:bCs/>
          <w:color w:val="1B2E4A"/>
          <w:sz w:val="24"/>
          <w:szCs w:val="24"/>
        </w:rPr>
        <w:t xml:space="preserve">Ranking of the equity shares</w:t>
      </w:r>
    </w:p>
    <w:p>
      <w:pPr>
        <w:spacing w:after="140" w:line="276"/>
        <w:jc w:val="both"/>
      </w:pPr>
      <w:r>
        <w:rPr>
          <w:rFonts w:ascii="Georgia" w:cs="Georgia" w:eastAsia="Georgia" w:hAnsi="Georgia"/>
          <w:sz w:val="21"/>
          <w:szCs w:val="21"/>
        </w:rPr>
        <w:t xml:space="preserve">The equity shares being offered pursuant to the Issue shall be subject to the provisions of the Memorandum and Articles of Association of the Company and shall rank pari passu in all respects with the existing equity shares of the Company, including in respect of the rights to receive dividend and to vote. Allottees will be entitled to dividend and any other corporate benefit declared by the Company after the date of allotment.</w:t>
      </w:r>
    </w:p>
    <w:p>
      <w:pPr>
        <w:spacing w:after="100" w:before="200"/>
      </w:pPr>
      <w:r>
        <w:rPr>
          <w:rFonts w:ascii="Georgia" w:cs="Georgia" w:eastAsia="Georgia" w:hAnsi="Georgia"/>
          <w:b/>
          <w:bCs/>
          <w:color w:val="1B2E4A"/>
          <w:sz w:val="24"/>
          <w:szCs w:val="24"/>
        </w:rPr>
        <w:t xml:space="preserve">Face value and issue price</w:t>
      </w:r>
    </w:p>
    <w:p>
      <w:pPr>
        <w:spacing w:after="140" w:line="276"/>
        <w:jc w:val="both"/>
      </w:pPr>
      <w:r>
        <w:rPr>
          <w:rFonts w:ascii="Georgia" w:cs="Georgia" w:eastAsia="Georgia" w:hAnsi="Georgia"/>
          <w:sz w:val="21"/>
          <w:szCs w:val="21"/>
        </w:rPr>
        <w:t xml:space="preserve">The equity shares have a face value of INR 10 each and are being offered at a price of [· to be supplied: price band ·]. The Issue price has been determined by the Company in consultation with the Lead Manager on the basis set out under "Basis for Issue Price".</w:t>
      </w:r>
    </w:p>
    <w:p>
      <w:pPr>
        <w:spacing w:after="100" w:before="200"/>
      </w:pPr>
      <w:r>
        <w:rPr>
          <w:rFonts w:ascii="Georgia" w:cs="Georgia" w:eastAsia="Georgia" w:hAnsi="Georgia"/>
          <w:b/>
          <w:bCs/>
          <w:color w:val="1B2E4A"/>
          <w:sz w:val="24"/>
          <w:szCs w:val="24"/>
        </w:rPr>
        <w:t xml:space="preserve">Rights of the equity shareholders</w:t>
      </w:r>
    </w:p>
    <w:p>
      <w:pPr>
        <w:pStyle w:val="ListParagraph"/>
        <w:numPr>
          <w:ilvl w:val="0"/>
          <w:numId w:val="1"/>
        </w:numPr>
        <w:spacing w:after="80"/>
        <w:ind w:left="360" w:hanging="200"/>
        <w:jc w:val="both"/>
      </w:pPr>
      <w:r>
        <w:rPr>
          <w:rFonts w:ascii="Georgia" w:cs="Georgia" w:eastAsia="Georgia" w:hAnsi="Georgia"/>
          <w:sz w:val="20"/>
          <w:szCs w:val="20"/>
        </w:rPr>
        <w:t xml:space="preserve">The right to receive dividend, if declared.</w:t>
      </w:r>
    </w:p>
    <w:p>
      <w:pPr>
        <w:pStyle w:val="ListParagraph"/>
        <w:numPr>
          <w:ilvl w:val="0"/>
          <w:numId w:val="1"/>
        </w:numPr>
        <w:spacing w:after="80"/>
        <w:ind w:left="360" w:hanging="200"/>
        <w:jc w:val="both"/>
      </w:pPr>
      <w:r>
        <w:rPr>
          <w:rFonts w:ascii="Georgia" w:cs="Georgia" w:eastAsia="Georgia" w:hAnsi="Georgia"/>
          <w:sz w:val="20"/>
          <w:szCs w:val="20"/>
        </w:rPr>
        <w:t xml:space="preserve">The right to attend general meetings and to exercise voting rights, unless prohibited by law.</w:t>
      </w:r>
    </w:p>
    <w:p>
      <w:pPr>
        <w:pStyle w:val="ListParagraph"/>
        <w:numPr>
          <w:ilvl w:val="0"/>
          <w:numId w:val="1"/>
        </w:numPr>
        <w:spacing w:after="80"/>
        <w:ind w:left="360" w:hanging="200"/>
        <w:jc w:val="both"/>
      </w:pPr>
      <w:r>
        <w:rPr>
          <w:rFonts w:ascii="Georgia" w:cs="Georgia" w:eastAsia="Georgia" w:hAnsi="Georgia"/>
          <w:sz w:val="20"/>
          <w:szCs w:val="20"/>
        </w:rPr>
        <w:t xml:space="preserve">The right to vote on a poll either in person or by proxy, or by electronic means in accordance with the Companies Act.</w:t>
      </w:r>
    </w:p>
    <w:p>
      <w:pPr>
        <w:pStyle w:val="ListParagraph"/>
        <w:numPr>
          <w:ilvl w:val="0"/>
          <w:numId w:val="1"/>
        </w:numPr>
        <w:spacing w:after="80"/>
        <w:ind w:left="360" w:hanging="200"/>
        <w:jc w:val="both"/>
      </w:pPr>
      <w:r>
        <w:rPr>
          <w:rFonts w:ascii="Georgia" w:cs="Georgia" w:eastAsia="Georgia" w:hAnsi="Georgia"/>
          <w:sz w:val="20"/>
          <w:szCs w:val="20"/>
        </w:rPr>
        <w:t xml:space="preserve">The right to receive offers for rights shares and to be allotted bonus shares, if announced.</w:t>
      </w:r>
    </w:p>
    <w:p>
      <w:pPr>
        <w:pStyle w:val="ListParagraph"/>
        <w:numPr>
          <w:ilvl w:val="0"/>
          <w:numId w:val="1"/>
        </w:numPr>
        <w:spacing w:after="80"/>
        <w:ind w:left="360" w:hanging="200"/>
        <w:jc w:val="both"/>
      </w:pPr>
      <w:r>
        <w:rPr>
          <w:rFonts w:ascii="Georgia" w:cs="Georgia" w:eastAsia="Georgia" w:hAnsi="Georgia"/>
          <w:sz w:val="20"/>
          <w:szCs w:val="20"/>
        </w:rPr>
        <w:t xml:space="preserve">The right to receive any surplus on liquidation, subject to any statutory and preferential claims.</w:t>
      </w:r>
    </w:p>
    <w:p>
      <w:pPr>
        <w:pStyle w:val="ListParagraph"/>
        <w:numPr>
          <w:ilvl w:val="0"/>
          <w:numId w:val="1"/>
        </w:numPr>
        <w:spacing w:after="80"/>
        <w:ind w:left="360" w:hanging="200"/>
        <w:jc w:val="both"/>
      </w:pPr>
      <w:r>
        <w:rPr>
          <w:rFonts w:ascii="Georgia" w:cs="Georgia" w:eastAsia="Georgia" w:hAnsi="Georgia"/>
          <w:sz w:val="20"/>
          <w:szCs w:val="20"/>
        </w:rPr>
        <w:t xml:space="preserve">The right of free transferability of the equity shares, subject to applicable law including any lock-in requirements.</w:t>
      </w:r>
    </w:p>
    <w:p>
      <w:pPr>
        <w:pStyle w:val="ListParagraph"/>
        <w:numPr>
          <w:ilvl w:val="0"/>
          <w:numId w:val="1"/>
        </w:numPr>
        <w:spacing w:after="80"/>
        <w:ind w:left="360" w:hanging="200"/>
        <w:jc w:val="both"/>
      </w:pPr>
      <w:r>
        <w:rPr>
          <w:rFonts w:ascii="Georgia" w:cs="Georgia" w:eastAsia="Georgia" w:hAnsi="Georgia"/>
          <w:sz w:val="20"/>
          <w:szCs w:val="20"/>
        </w:rPr>
        <w:t xml:space="preserve">Such other rights as are available to a shareholder of a listed public company under the Companies Act, the LODR Regulations and the Memorandum and Articles of Association of the Company.</w:t>
      </w:r>
    </w:p>
    <w:p>
      <w:pPr>
        <w:spacing w:after="100" w:before="200"/>
      </w:pPr>
      <w:r>
        <w:rPr>
          <w:rFonts w:ascii="Georgia" w:cs="Georgia" w:eastAsia="Georgia" w:hAnsi="Georgia"/>
          <w:b/>
          <w:bCs/>
          <w:color w:val="1B2E4A"/>
          <w:sz w:val="24"/>
          <w:szCs w:val="24"/>
        </w:rPr>
        <w:t xml:space="preserve">Market lot and minimum application size</w:t>
      </w:r>
    </w:p>
    <w:p>
      <w:pPr>
        <w:spacing w:after="140" w:line="276"/>
        <w:jc w:val="both"/>
      </w:pPr>
      <w:r>
        <w:rPr>
          <w:rFonts w:ascii="Georgia" w:cs="Georgia" w:eastAsia="Georgia" w:hAnsi="Georgia"/>
          <w:sz w:val="21"/>
          <w:szCs w:val="21"/>
        </w:rPr>
        <w:t xml:space="preserve">The equity shares will be allotted only in dematerialised form. As the equity shares are being issued on the SME Platform, trading will be permitted only in the market lot specified by the SME Platform. The minimum application size and the market lot are to be determined by the Company in consultation with the Lead Manager and the SME Platform in accordance with the ICDR Regulations, and will be disclosed in the Prospectus.</w:t>
      </w:r>
    </w:p>
    <w:p>
      <w:pPr>
        <w:spacing w:after="100" w:before="200"/>
      </w:pPr>
      <w:r>
        <w:rPr>
          <w:rFonts w:ascii="Georgia" w:cs="Georgia" w:eastAsia="Georgia" w:hAnsi="Georgia"/>
          <w:b/>
          <w:bCs/>
          <w:color w:val="1B2E4A"/>
          <w:sz w:val="24"/>
          <w:szCs w:val="24"/>
        </w:rPr>
        <w:t xml:space="preserve">Underwriting and market making</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market lot, minimum application size, tick size and the detailed market making obligations must be finalised by the merchant banker with the SME Platform before the Prospectus is filed.</w:t>
      </w:r>
    </w:p>
    <w:p>
      <w:pPr>
        <w:spacing w:after="40" w:before="200"/>
      </w:pPr>
      <w:r>
        <w:rPr>
          <w:rFonts w:ascii="Calibri" w:cs="Calibri" w:eastAsia="Calibri" w:hAnsi="Calibri"/>
          <w:b/>
          <w:bCs/>
          <w:color w:val="9C6B1E"/>
          <w:sz w:val="16"/>
          <w:szCs w:val="16"/>
        </w:rPr>
        <w:t xml:space="preserve">CHAPTER VII.2</w:t>
      </w:r>
    </w:p>
    <w:p>
      <w:pPr>
        <w:spacing w:after="40"/>
      </w:pPr>
      <w:r>
        <w:rPr>
          <w:rFonts w:ascii="Georgia" w:cs="Georgia" w:eastAsia="Georgia" w:hAnsi="Georgia"/>
          <w:b/>
          <w:bCs/>
          <w:color w:val="1B2E4A"/>
          <w:sz w:val="26"/>
          <w:szCs w:val="26"/>
        </w:rPr>
        <w:t xml:space="preserve">Issue Structure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R5.6, R8.2</w:t>
      </w:r>
    </w:p>
    <w:p>
      <w:pPr>
        <w:spacing w:after="80" w:before="120"/>
      </w:pPr>
      <w:r>
        <w:rPr>
          <w:rFonts w:ascii="Calibri" w:cs="Calibri" w:eastAsia="Calibri" w:hAnsi="Calibri"/>
          <w:b/>
          <w:bCs/>
          <w:caps/>
          <w:color w:val="1B2E4A"/>
          <w:sz w:val="18"/>
          <w:szCs w:val="18"/>
        </w:rPr>
        <w:t xml:space="preserve">Issue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left"/>
            </w:pPr>
            <w:r>
              <w:rPr>
                <w:rFonts w:ascii="Calibri" w:cs="Calibri" w:eastAsia="Calibri" w:hAnsi="Calibri"/>
                <w:b/>
                <w:bCs/>
                <w:color w:val="1B2E4A"/>
                <w:sz w:val="17"/>
                <w:szCs w:val="17"/>
              </w:rPr>
              <w:t xml:space="preserve">Category</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No. of equity shares</w:t>
            </w:r>
          </w:p>
        </w:tc>
        <w:tc>
          <w:tcPr>
            <w:tcBorders>
              <w:top w:val="single" w:color="C9D2DE" w:sz="4"/>
              <w:left w:val="single" w:color="C9D2DE" w:sz="4"/>
              <w:bottom w:val="single" w:color="C9D2DE" w:sz="4"/>
              <w:right w:val="single" w:color="C9D2DE" w:sz="4"/>
            </w:tcBorders>
            <w:shd w:fill="E7ECF3" w:color="auto" w:val="clear"/>
            <w:tcMar>
              <w:top w:type="dxa" w:w="40"/>
              <w:left w:type="dxa" w:w="80"/>
              <w:bottom w:type="dxa" w:w="40"/>
              <w:right w:type="dxa" w:w="80"/>
            </w:tcMar>
          </w:tcPr>
          <w:p>
            <w:pPr>
              <w:jc w:val="right"/>
            </w:pPr>
            <w:r>
              <w:rPr>
                <w:rFonts w:ascii="Calibri" w:cs="Calibri" w:eastAsia="Calibri" w:hAnsi="Calibri"/>
                <w:b/>
                <w:bCs/>
                <w:color w:val="1B2E4A"/>
                <w:sz w:val="17"/>
                <w:szCs w:val="17"/>
              </w:rPr>
              <w:t xml:space="preserve">% of Issue</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Market Maker reservation portion</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0</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0.00%</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Net Issue to the public — retail individual investors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25,89,000</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50.00%</w:t>
            </w:r>
          </w:p>
        </w:tc>
      </w:tr>
      <w:tr>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left"/>
            </w:pPr>
            <w:r>
              <w:rPr>
                <w:rFonts w:ascii="Georgia" w:cs="Georgia" w:eastAsia="Georgia" w:hAnsi="Georgia"/>
                <w:b w:val="false"/>
                <w:bCs w:val="false"/>
                <w:sz w:val="18"/>
                <w:szCs w:val="18"/>
              </w:rPr>
              <w:t xml:space="preserve">Net Issue to the public — other than retail individual investors</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25,89,000</w:t>
            </w:r>
          </w:p>
        </w:tc>
        <w:tc>
          <w:tcPr>
            <w:tcBorders>
              <w:top w:val="single" w:color="C9D2DE" w:sz="4"/>
              <w:left w:val="single" w:color="C9D2DE" w:sz="4"/>
              <w:bottom w:val="single" w:color="C9D2DE" w:sz="4"/>
              <w:right w:val="single" w:color="C9D2DE" w:sz="4"/>
            </w:tcBorders>
            <w:tcMar>
              <w:top w:type="dxa" w:w="30"/>
              <w:left w:type="dxa" w:w="80"/>
              <w:bottom w:type="dxa" w:w="30"/>
              <w:right w:type="dxa" w:w="80"/>
            </w:tcMar>
          </w:tcPr>
          <w:p>
            <w:pPr>
              <w:jc w:val="right"/>
            </w:pPr>
            <w:r>
              <w:rPr>
                <w:rFonts w:ascii="Georgia" w:cs="Georgia" w:eastAsia="Georgia" w:hAnsi="Georgia"/>
                <w:b w:val="false"/>
                <w:bCs w:val="false"/>
                <w:sz w:val="18"/>
                <w:szCs w:val="18"/>
              </w:rPr>
              <w:t xml:space="preserve">50.00%</w:t>
            </w:r>
          </w:p>
        </w:tc>
      </w:tr>
      <w:tr>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left"/>
            </w:pPr>
            <w:r>
              <w:rPr>
                <w:rFonts w:ascii="Georgia" w:cs="Georgia" w:eastAsia="Georgia" w:hAnsi="Georgia"/>
                <w:b/>
                <w:bCs/>
                <w:sz w:val="18"/>
                <w:szCs w:val="18"/>
              </w:rPr>
              <w:t xml:space="preserve">Total Issue</w:t>
            </w:r>
          </w:p>
        </w:tc>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right"/>
            </w:pPr>
            <w:r>
              <w:rPr>
                <w:rFonts w:ascii="Georgia" w:cs="Georgia" w:eastAsia="Georgia" w:hAnsi="Georgia"/>
                <w:b/>
                <w:bCs/>
                <w:sz w:val="18"/>
                <w:szCs w:val="18"/>
              </w:rPr>
              <w:t xml:space="preserve">51,78,000</w:t>
            </w:r>
          </w:p>
        </w:tc>
        <w:tc>
          <w:tcPr>
            <w:tcBorders>
              <w:top w:val="single" w:color="C9D2DE" w:sz="4"/>
              <w:left w:val="single" w:color="C9D2DE" w:sz="4"/>
              <w:bottom w:val="single" w:color="C9D2DE" w:sz="4"/>
              <w:right w:val="single" w:color="C9D2DE" w:sz="4"/>
            </w:tcBorders>
            <w:shd w:fill="EEF1F6" w:color="auto" w:val="clear"/>
            <w:tcMar>
              <w:top w:type="dxa" w:w="30"/>
              <w:left w:type="dxa" w:w="80"/>
              <w:bottom w:type="dxa" w:w="30"/>
              <w:right w:type="dxa" w:w="80"/>
            </w:tcMar>
          </w:tcPr>
          <w:p>
            <w:pPr>
              <w:jc w:val="right"/>
            </w:pPr>
            <w:r>
              <w:rPr>
                <w:rFonts w:ascii="Georgia" w:cs="Georgia" w:eastAsia="Georgia" w:hAnsi="Georgia"/>
                <w:b/>
                <w:bCs/>
                <w:sz w:val="18"/>
                <w:szCs w:val="18"/>
              </w:rPr>
              <w:t xml:space="preserve">100.00%</w:t>
            </w:r>
          </w:p>
        </w:tc>
      </w:tr>
    </w:tbl>
    <w:p>
      <w:pPr>
        <w:spacing w:after="120" w:before="60"/>
      </w:pPr>
      <w:r>
        <w:rPr>
          <w:rFonts w:ascii="Calibri" w:cs="Calibri" w:eastAsia="Calibri" w:hAnsi="Calibri"/>
          <w:i/>
          <w:iCs/>
          <w:color w:val="5B6472"/>
          <w:sz w:val="16"/>
          <w:szCs w:val="16"/>
        </w:rPr>
        <w:t xml:space="preserve">The allocation between retail individual investors and other than retail individual investors is presented on the indicative basis prescribed for issues on the SME platform, and is subject to confirmation by the Lead Manager against the ICDR Regulations in force at the time of filing.</w:t>
      </w:r>
    </w:p>
    <w:p>
      <w:pPr>
        <w:spacing w:after="80"/>
      </w:pPr>
    </w:p>
    <w:p>
      <w:pPr>
        <w:spacing w:after="140" w:line="276"/>
        <w:jc w:val="both"/>
      </w:pPr>
      <w:r>
        <w:rPr>
          <w:rFonts w:ascii="Georgia" w:cs="Georgia" w:eastAsia="Georgia" w:hAnsi="Georgia"/>
          <w:sz w:val="21"/>
          <w:szCs w:val="21"/>
        </w:rPr>
        <w:t xml:space="preserve">Undersubscription, if any, in any category would be met with spillover from the other categories at the discretion of the Company in consultation with the Lead Manager and the SME Platform, subject to applicable law. The Issue is subject to the minimum subscription requirement prescribed under the ICDR Regulations; if the Company does not receive the minimum subscription, it will refund the entire subscription amount received.</w:t>
      </w:r>
    </w:p>
    <w:p>
      <w:pPr>
        <w:spacing w:after="40" w:before="200"/>
      </w:pPr>
      <w:r>
        <w:rPr>
          <w:rFonts w:ascii="Calibri" w:cs="Calibri" w:eastAsia="Calibri" w:hAnsi="Calibri"/>
          <w:b/>
          <w:bCs/>
          <w:color w:val="9C6B1E"/>
          <w:sz w:val="16"/>
          <w:szCs w:val="16"/>
        </w:rPr>
        <w:t xml:space="preserve">CHAPTER VII.3</w:t>
      </w:r>
    </w:p>
    <w:p>
      <w:pPr>
        <w:spacing w:after="40"/>
      </w:pPr>
      <w:r>
        <w:rPr>
          <w:rFonts w:ascii="Georgia" w:cs="Georgia" w:eastAsia="Georgia" w:hAnsi="Georgia"/>
          <w:b/>
          <w:bCs/>
          <w:color w:val="1B2E4A"/>
          <w:sz w:val="26"/>
          <w:szCs w:val="26"/>
        </w:rPr>
        <w:t xml:space="preserve">Issue Procedure</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R8.4</w:t>
      </w:r>
    </w:p>
    <w:p>
      <w:pPr>
        <w:spacing w:after="140" w:line="276"/>
        <w:jc w:val="both"/>
      </w:pPr>
      <w:r>
        <w:rPr>
          <w:rFonts w:ascii="Georgia" w:cs="Georgia" w:eastAsia="Georgia" w:hAnsi="Georgia"/>
          <w:sz w:val="21"/>
          <w:szCs w:val="21"/>
        </w:rPr>
        <w:t xml:space="preserve">All applicants are required to make an application through the Application Supported by Blocked Amount process. Investors applying in the Issue must provide the bank account details and the authorisation to block funds in the application form, or must use the Unified Payments Interface mechanism where they are eligible to do so. Applications not containing such details are liable to be rejected.</w:t>
      </w:r>
    </w:p>
    <w:p>
      <w:pPr>
        <w:spacing w:after="100" w:before="200"/>
      </w:pPr>
      <w:r>
        <w:rPr>
          <w:rFonts w:ascii="Georgia" w:cs="Georgia" w:eastAsia="Georgia" w:hAnsi="Georgia"/>
          <w:b/>
          <w:bCs/>
          <w:color w:val="1B2E4A"/>
          <w:sz w:val="24"/>
          <w:szCs w:val="24"/>
        </w:rPr>
        <w:t xml:space="preserve">Application process</w:t>
      </w:r>
    </w:p>
    <w:p>
      <w:pPr>
        <w:pStyle w:val="ListParagraph"/>
        <w:numPr>
          <w:ilvl w:val="0"/>
          <w:numId w:val="1"/>
        </w:numPr>
        <w:spacing w:after="80"/>
        <w:ind w:left="360" w:hanging="200"/>
        <w:jc w:val="both"/>
      </w:pPr>
      <w:r>
        <w:rPr>
          <w:rFonts w:ascii="Georgia" w:cs="Georgia" w:eastAsia="Georgia" w:hAnsi="Georgia"/>
          <w:sz w:val="20"/>
          <w:szCs w:val="20"/>
        </w:rPr>
        <w:t xml:space="preserve">Applicants must submit the application form to a designated intermediary, being a syndicate member, a registered stock broker, a registrar and share transfer agent or a depository participant, or must apply online through a self-certified syndicate bank.</w:t>
      </w:r>
    </w:p>
    <w:p>
      <w:pPr>
        <w:pStyle w:val="ListParagraph"/>
        <w:numPr>
          <w:ilvl w:val="0"/>
          <w:numId w:val="1"/>
        </w:numPr>
        <w:spacing w:after="80"/>
        <w:ind w:left="360" w:hanging="200"/>
        <w:jc w:val="both"/>
      </w:pPr>
      <w:r>
        <w:rPr>
          <w:rFonts w:ascii="Georgia" w:cs="Georgia" w:eastAsia="Georgia" w:hAnsi="Georgia"/>
          <w:sz w:val="20"/>
          <w:szCs w:val="20"/>
        </w:rPr>
        <w:t xml:space="preserve">Retail individual investors applying through the UPI mechanism must provide a valid UPI identification in the application form and must approve the mandate request received on the UPI application within the prescribed time.</w:t>
      </w:r>
    </w:p>
    <w:p>
      <w:pPr>
        <w:pStyle w:val="ListParagraph"/>
        <w:numPr>
          <w:ilvl w:val="0"/>
          <w:numId w:val="1"/>
        </w:numPr>
        <w:spacing w:after="80"/>
        <w:ind w:left="360" w:hanging="200"/>
        <w:jc w:val="both"/>
      </w:pPr>
      <w:r>
        <w:rPr>
          <w:rFonts w:ascii="Georgia" w:cs="Georgia" w:eastAsia="Georgia" w:hAnsi="Georgia"/>
          <w:sz w:val="20"/>
          <w:szCs w:val="20"/>
        </w:rPr>
        <w:t xml:space="preserve">Applicants must ensure that the application is for the minimum application size specified, and in multiples of the market lot thereafter.</w:t>
      </w:r>
    </w:p>
    <w:p>
      <w:pPr>
        <w:pStyle w:val="ListParagraph"/>
        <w:numPr>
          <w:ilvl w:val="0"/>
          <w:numId w:val="1"/>
        </w:numPr>
        <w:spacing w:after="80"/>
        <w:ind w:left="360" w:hanging="200"/>
        <w:jc w:val="both"/>
      </w:pPr>
      <w:r>
        <w:rPr>
          <w:rFonts w:ascii="Georgia" w:cs="Georgia" w:eastAsia="Georgia" w:hAnsi="Georgia"/>
          <w:sz w:val="20"/>
          <w:szCs w:val="20"/>
        </w:rPr>
        <w:t xml:space="preserve">Applications must be made only in dematerialised form, and the depository account details furnished must match the depository records.</w:t>
      </w:r>
    </w:p>
    <w:p>
      <w:pPr>
        <w:pStyle w:val="ListParagraph"/>
        <w:numPr>
          <w:ilvl w:val="0"/>
          <w:numId w:val="1"/>
        </w:numPr>
        <w:spacing w:after="80"/>
        <w:ind w:left="360" w:hanging="200"/>
        <w:jc w:val="both"/>
      </w:pPr>
      <w:r>
        <w:rPr>
          <w:rFonts w:ascii="Georgia" w:cs="Georgia" w:eastAsia="Georgia" w:hAnsi="Georgia"/>
          <w:sz w:val="20"/>
          <w:szCs w:val="20"/>
        </w:rPr>
        <w:t xml:space="preserve">The Permanent Account Number of each applicant is mandatory, irrespective of the application amount.</w:t>
      </w:r>
    </w:p>
    <w:p>
      <w:pPr>
        <w:spacing w:after="100" w:before="200"/>
      </w:pPr>
      <w:r>
        <w:rPr>
          <w:rFonts w:ascii="Georgia" w:cs="Georgia" w:eastAsia="Georgia" w:hAnsi="Georgia"/>
          <w:b/>
          <w:bCs/>
          <w:color w:val="1B2E4A"/>
          <w:sz w:val="24"/>
          <w:szCs w:val="24"/>
        </w:rPr>
        <w:t xml:space="preserve">Basis of allotment</w:t>
      </w:r>
    </w:p>
    <w:p>
      <w:pPr>
        <w:spacing w:after="140" w:line="276"/>
        <w:jc w:val="both"/>
      </w:pPr>
      <w:r>
        <w:rPr>
          <w:rFonts w:ascii="Georgia" w:cs="Georgia" w:eastAsia="Georgia" w:hAnsi="Georgia"/>
          <w:sz w:val="21"/>
          <w:szCs w:val="21"/>
        </w:rPr>
        <w:t xml:space="preserve">The Basis of Allotment will be finalised by the Company and the Lead Manager in consultation with the Registrar to the Issue and the SME Platform in accordance with the ICDR Regulations. In the event of over-subscription, allotment will be made on a proportionate basis within each category, subject to the minimum allotment being equal to the minimum application size. Where the number of applicants in a category exceeds the number of allottees possible at the minimum application size, allotment will be made by drawing of lots.</w:t>
      </w:r>
    </w:p>
    <w:p>
      <w:pPr>
        <w:spacing w:after="100" w:before="200"/>
      </w:pPr>
      <w:r>
        <w:rPr>
          <w:rFonts w:ascii="Georgia" w:cs="Georgia" w:eastAsia="Georgia" w:hAnsi="Georgia"/>
          <w:b/>
          <w:bCs/>
          <w:color w:val="1B2E4A"/>
          <w:sz w:val="24"/>
          <w:szCs w:val="24"/>
        </w:rPr>
        <w:t xml:space="preserve">Refunds and credit of equity shares</w:t>
      </w:r>
    </w:p>
    <w:p>
      <w:pPr>
        <w:spacing w:after="140" w:line="276"/>
        <w:jc w:val="both"/>
      </w:pPr>
      <w:r>
        <w:rPr>
          <w:rFonts w:ascii="Georgia" w:cs="Georgia" w:eastAsia="Georgia" w:hAnsi="Georgia"/>
          <w:sz w:val="21"/>
          <w:szCs w:val="21"/>
        </w:rPr>
        <w:t xml:space="preserve">The Registrar to the Issue will instruct the relevant self-certified syndicate banks to unblock the funds in the accounts of unsuccessful applicants, and will credit the allotted equity shares to the depository accounts of successful allottees, within the timelines prescribed under the ICDR Regulations and the applicable SEBI circulars. The Company will pay interest at the prescribed rate for any delay beyond the prescribed period.</w:t>
      </w:r>
    </w:p>
    <w:p>
      <w:pPr>
        <w:spacing w:after="100" w:before="200"/>
      </w:pPr>
      <w:r>
        <w:rPr>
          <w:rFonts w:ascii="Georgia" w:cs="Georgia" w:eastAsia="Georgia" w:hAnsi="Georgia"/>
          <w:b/>
          <w:bCs/>
          <w:color w:val="1B2E4A"/>
          <w:sz w:val="24"/>
          <w:szCs w:val="24"/>
        </w:rPr>
        <w:t xml:space="preserve">Grounds for technical rejection</w:t>
      </w:r>
    </w:p>
    <w:p>
      <w:pPr>
        <w:pStyle w:val="ListParagraph"/>
        <w:numPr>
          <w:ilvl w:val="0"/>
          <w:numId w:val="1"/>
        </w:numPr>
        <w:spacing w:after="80"/>
        <w:ind w:left="360" w:hanging="200"/>
        <w:jc w:val="both"/>
      </w:pPr>
      <w:r>
        <w:rPr>
          <w:rFonts w:ascii="Georgia" w:cs="Georgia" w:eastAsia="Georgia" w:hAnsi="Georgia"/>
          <w:sz w:val="20"/>
          <w:szCs w:val="20"/>
        </w:rPr>
        <w:t xml:space="preserve">Application by a person not eligible to invest in the Issue under applicable law.</w:t>
      </w:r>
    </w:p>
    <w:p>
      <w:pPr>
        <w:pStyle w:val="ListParagraph"/>
        <w:numPr>
          <w:ilvl w:val="0"/>
          <w:numId w:val="1"/>
        </w:numPr>
        <w:spacing w:after="80"/>
        <w:ind w:left="360" w:hanging="200"/>
        <w:jc w:val="both"/>
      </w:pPr>
      <w:r>
        <w:rPr>
          <w:rFonts w:ascii="Georgia" w:cs="Georgia" w:eastAsia="Georgia" w:hAnsi="Georgia"/>
          <w:sz w:val="20"/>
          <w:szCs w:val="20"/>
        </w:rPr>
        <w:t xml:space="preserve">Application for a number of equity shares below the minimum application size, or not in multiples of the market lot.</w:t>
      </w:r>
    </w:p>
    <w:p>
      <w:pPr>
        <w:pStyle w:val="ListParagraph"/>
        <w:numPr>
          <w:ilvl w:val="0"/>
          <w:numId w:val="1"/>
        </w:numPr>
        <w:spacing w:after="80"/>
        <w:ind w:left="360" w:hanging="200"/>
        <w:jc w:val="both"/>
      </w:pPr>
      <w:r>
        <w:rPr>
          <w:rFonts w:ascii="Georgia" w:cs="Georgia" w:eastAsia="Georgia" w:hAnsi="Georgia"/>
          <w:sz w:val="20"/>
          <w:szCs w:val="20"/>
        </w:rPr>
        <w:t xml:space="preserve">Permanent Account Number not provided, or provided incorrectly.</w:t>
      </w:r>
    </w:p>
    <w:p>
      <w:pPr>
        <w:pStyle w:val="ListParagraph"/>
        <w:numPr>
          <w:ilvl w:val="0"/>
          <w:numId w:val="1"/>
        </w:numPr>
        <w:spacing w:after="80"/>
        <w:ind w:left="360" w:hanging="200"/>
        <w:jc w:val="both"/>
      </w:pPr>
      <w:r>
        <w:rPr>
          <w:rFonts w:ascii="Georgia" w:cs="Georgia" w:eastAsia="Georgia" w:hAnsi="Georgia"/>
          <w:sz w:val="20"/>
          <w:szCs w:val="20"/>
        </w:rPr>
        <w:t xml:space="preserve">Depository account details not provided, or not matching the depository records.</w:t>
      </w:r>
    </w:p>
    <w:p>
      <w:pPr>
        <w:pStyle w:val="ListParagraph"/>
        <w:numPr>
          <w:ilvl w:val="0"/>
          <w:numId w:val="1"/>
        </w:numPr>
        <w:spacing w:after="80"/>
        <w:ind w:left="360" w:hanging="200"/>
        <w:jc w:val="both"/>
      </w:pPr>
      <w:r>
        <w:rPr>
          <w:rFonts w:ascii="Georgia" w:cs="Georgia" w:eastAsia="Georgia" w:hAnsi="Georgia"/>
          <w:sz w:val="20"/>
          <w:szCs w:val="20"/>
        </w:rPr>
        <w:t xml:space="preserve">Insufficient funds available in the bank account to be blocked, or failure to approve the UPI mandate within the prescribed time.</w:t>
      </w:r>
    </w:p>
    <w:p>
      <w:pPr>
        <w:pStyle w:val="ListParagraph"/>
        <w:numPr>
          <w:ilvl w:val="0"/>
          <w:numId w:val="1"/>
        </w:numPr>
        <w:spacing w:after="80"/>
        <w:ind w:left="360" w:hanging="200"/>
        <w:jc w:val="both"/>
      </w:pPr>
      <w:r>
        <w:rPr>
          <w:rFonts w:ascii="Georgia" w:cs="Georgia" w:eastAsia="Georgia" w:hAnsi="Georgia"/>
          <w:sz w:val="20"/>
          <w:szCs w:val="20"/>
        </w:rPr>
        <w:t xml:space="preserve">Application form not signed by the applicant, or signature not matching the bank or depository records.</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This chapter must be updated by the merchant banker to reflect the SEBI circulars in force on the date the Prospectus is filed, including the applicable UPI limits and the prescribed timelines.</w:t>
      </w:r>
    </w:p>
    <w:p>
      <w:pPr>
        <w:spacing w:after="40" w:before="200"/>
      </w:pPr>
      <w:r>
        <w:rPr>
          <w:rFonts w:ascii="Calibri" w:cs="Calibri" w:eastAsia="Calibri" w:hAnsi="Calibri"/>
          <w:b/>
          <w:bCs/>
          <w:color w:val="9C6B1E"/>
          <w:sz w:val="16"/>
          <w:szCs w:val="16"/>
        </w:rPr>
        <w:t xml:space="preserve">CHAPTER VII.4</w:t>
      </w:r>
    </w:p>
    <w:p>
      <w:pPr>
        <w:spacing w:after="40"/>
      </w:pPr>
      <w:r>
        <w:rPr>
          <w:rFonts w:ascii="Georgia" w:cs="Georgia" w:eastAsia="Georgia" w:hAnsi="Georgia"/>
          <w:b/>
          <w:bCs/>
          <w:color w:val="1B2E4A"/>
          <w:sz w:val="26"/>
          <w:szCs w:val="26"/>
        </w:rPr>
        <w:t xml:space="preserve">Restrictions on Foreign Ownership of Indian Securities</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R16.1</w:t>
      </w:r>
    </w:p>
    <w:p>
      <w:pPr>
        <w:spacing w:after="140" w:line="276"/>
        <w:jc w:val="both"/>
      </w:pPr>
      <w:r>
        <w:rPr>
          <w:rFonts w:ascii="Georgia" w:cs="Georgia" w:eastAsia="Georgia" w:hAnsi="Georgia"/>
          <w:sz w:val="21"/>
          <w:szCs w:val="21"/>
        </w:rPr>
        <w:t xml:space="preserve">Foreign investment in Indian securities is regulated by the Foreign Exchange Management Act, 1999 and the rules and regulations made thereunder, including the Foreign Exchange Management (Non-debt Instruments) Rules, 2019, and by the consolidated foreign direct investment policy issued by the Department for Promotion of Industry and Internal Trade. While the consolidated policy prescribes the limits and the entry route for investment in each sector, the Reserve Bank of India and the Government of India prescribe the pricing guidelines and the reporting requirements applicable to such investment.</w:t>
      </w:r>
    </w:p>
    <w:p>
      <w:pPr>
        <w:spacing w:after="140" w:line="276"/>
        <w:jc w:val="both"/>
      </w:pPr>
      <w:r>
        <w:rPr>
          <w:rFonts w:ascii="Georgia" w:cs="Georgia" w:eastAsia="Georgia" w:hAnsi="Georgia"/>
          <w:sz w:val="21"/>
          <w:szCs w:val="21"/>
        </w:rPr>
        <w:t xml:space="preserve">Under the current regime, foreign direct investment up to 100 per cent is permitted under the automatic route in most manufacturing activities, subject to compliance with the applicable pricing guidelines, sectoral conditions and reporting requirements. An investment by an entity of a country which shares a land border with India, or where the beneficial owner of an investment into India is situated in or is a citizen of such a country, can be made only under the Government route.</w:t>
      </w:r>
    </w:p>
    <w:p>
      <w:pPr>
        <w:spacing w:after="140" w:line="276"/>
        <w:jc w:val="both"/>
      </w:pPr>
      <w:r>
        <w:rPr>
          <w:rFonts w:ascii="Georgia" w:cs="Georgia" w:eastAsia="Georgia" w:hAnsi="Georgia"/>
          <w:sz w:val="21"/>
          <w:szCs w:val="21"/>
        </w:rPr>
        <w:t xml:space="preserve">The equity shares have not been and will not be registered under the United States Securities Act of 1933 or under the securities laws of any state of the United States, and may not be offered or sold within the United States except pursuant to an exemption from, or in a transaction not subject to, the registration requirements of that Act and applicable state securities laws.</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merchant banker, in consultation with legal counsel, must confirm the sectoral cap and entry route applicable to the Company's activity under the consolidated FDI policy in force on the date of filing.</w:t>
      </w:r>
    </w:p>
    <w:p>
      <w:pPr>
        <w:pBdr>
          <w:bottom w:val="single" w:color="1B2E4A" w:sz="18" w:space="4"/>
        </w:pBdr>
        <w:spacing w:after="120" w:before="240"/>
      </w:pPr>
      <w:r>
        <w:rPr>
          <w:rFonts w:ascii="Georgia" w:cs="Georgia" w:eastAsia="Georgia" w:hAnsi="Georgia"/>
          <w:b/>
          <w:bCs/>
          <w:caps/>
          <w:color w:val="1B2E4A"/>
          <w:sz w:val="28"/>
          <w:szCs w:val="28"/>
        </w:rPr>
        <w:t xml:space="preserve">Section VIII — Main Provisions of the Articles of Association</w:t>
      </w:r>
    </w:p>
    <w:p>
      <w:pPr>
        <w:spacing w:after="40" w:before="200"/>
      </w:pPr>
      <w:r>
        <w:rPr>
          <w:rFonts w:ascii="Calibri" w:cs="Calibri" w:eastAsia="Calibri" w:hAnsi="Calibri"/>
          <w:b/>
          <w:bCs/>
          <w:color w:val="9C6B1E"/>
          <w:sz w:val="16"/>
          <w:szCs w:val="16"/>
        </w:rPr>
        <w:t xml:space="preserve">CHAPTER VIII.1</w:t>
      </w:r>
    </w:p>
    <w:p>
      <w:pPr>
        <w:spacing w:after="40"/>
      </w:pPr>
      <w:r>
        <w:rPr>
          <w:rFonts w:ascii="Georgia" w:cs="Georgia" w:eastAsia="Georgia" w:hAnsi="Georgia"/>
          <w:b/>
          <w:bCs/>
          <w:color w:val="1B2E4A"/>
          <w:sz w:val="26"/>
          <w:szCs w:val="26"/>
        </w:rPr>
        <w:t xml:space="preserve">Main Provisions of the Articles of Association</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R14.1</w:t>
      </w:r>
    </w:p>
    <w:p>
      <w:pPr>
        <w:spacing w:after="140" w:line="276"/>
        <w:jc w:val="both"/>
      </w:pPr>
      <w:r>
        <w:rPr>
          <w:rFonts w:ascii="Georgia" w:cs="Georgia" w:eastAsia="Georgia" w:hAnsi="Georgia"/>
          <w:sz w:val="21"/>
          <w:szCs w:val="21"/>
        </w:rPr>
        <w:t xml:space="preserve">Pursuant to Schedule VI of the ICDR Regulations and section 26 of the Companies Act, the main provisions of the Articles of Association of the Company relating to the matters set out below are required to be reproduced in this chapter. The Articles of Association of the Company are, in the main, based on Table F of Schedule I to the Companies Act.</w:t>
      </w:r>
    </w:p>
    <w:p>
      <w:pPr>
        <w:spacing w:after="140" w:line="276"/>
        <w:jc w:val="both"/>
      </w:pPr>
      <w:r>
        <w:rPr>
          <w:rFonts w:ascii="Georgia" w:cs="Georgia" w:eastAsia="Georgia" w:hAnsi="Georgia"/>
          <w:sz w:val="21"/>
          <w:szCs w:val="21"/>
        </w:rPr>
        <w:t xml:space="preserve">The provisions to be reproduced relate to share capital and variation of rights; the alteration of capital; the issue of shares and certificates; the lien of the Company on shares; calls on shares; the transfer and transmission of shares; the forfeiture of shares; the conversion of shares into stock; general meetings and the proceedings thereat; the voting rights of members and voting by proxy; the appointment, powers, proceedings and remuneration of directors; the appointment of a managing director and of key managerial personnel; borrowing powers; the maintenance of accounts and the audit thereof; dividends and reserves; the capitalisation of profits; the use of the common seal; indemnity; and winding up.</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Verbatim reproduction of the main provisions of the Articles of Association of the Company.</w:t>
      </w:r>
    </w:p>
    <w:p>
      <w:pPr>
        <w:spacing w:after="40"/>
        <w:ind w:left="460"/>
      </w:pPr>
      <w:r>
        <w:rPr>
          <w:rFonts w:ascii="Calibri" w:cs="Calibri" w:eastAsia="Calibri" w:hAnsi="Calibri"/>
          <w:color w:val="5B6472"/>
          <w:sz w:val="17"/>
          <w:szCs w:val="17"/>
        </w:rPr>
        <w:t xml:space="preserve">–  Certified true copy of the Articles of Association of the Company as currently in force</w:t>
      </w:r>
    </w:p>
    <w:p>
      <w:pPr>
        <w:spacing w:after="40"/>
        <w:ind w:left="460"/>
      </w:pPr>
      <w:r>
        <w:rPr>
          <w:rFonts w:ascii="Calibri" w:cs="Calibri" w:eastAsia="Calibri" w:hAnsi="Calibri"/>
          <w:color w:val="5B6472"/>
          <w:sz w:val="17"/>
          <w:szCs w:val="17"/>
        </w:rPr>
        <w:t xml:space="preserve">–  Particulars of every amendment to the Articles since incorporation, with the date of the authorising resolution</w:t>
      </w:r>
    </w:p>
    <w:p>
      <w:pPr>
        <w:spacing w:after="40"/>
        <w:ind w:left="460"/>
      </w:pPr>
      <w:r>
        <w:rPr>
          <w:rFonts w:ascii="Calibri" w:cs="Calibri" w:eastAsia="Calibri" w:hAnsi="Calibri"/>
          <w:color w:val="5B6472"/>
          <w:sz w:val="17"/>
          <w:szCs w:val="17"/>
        </w:rPr>
        <w:t xml:space="preserve">–  Confirmation from the Company Secretary that the extract reproduced is complete and accurate</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Drafter does not generate this chapter from the issuer's plain-language answers because it must be a verbatim extract from the Company's constitutional documents. Paraphrasing the Articles would be a material misstatement. The Company Secretary supplies the extract and the merchant banker verifies it against the filed Articles.</w:t>
      </w:r>
    </w:p>
    <w:p>
      <w:pPr>
        <w:pBdr>
          <w:bottom w:val="single" w:color="1B2E4A" w:sz="18" w:space="4"/>
        </w:pBdr>
        <w:spacing w:after="120" w:before="240"/>
      </w:pPr>
      <w:r>
        <w:rPr>
          <w:rFonts w:ascii="Georgia" w:cs="Georgia" w:eastAsia="Georgia" w:hAnsi="Georgia"/>
          <w:b/>
          <w:bCs/>
          <w:caps/>
          <w:color w:val="1B2E4A"/>
          <w:sz w:val="28"/>
          <w:szCs w:val="28"/>
        </w:rPr>
        <w:t xml:space="preserve">Section IX — Other Information</w:t>
      </w:r>
    </w:p>
    <w:p>
      <w:pPr>
        <w:spacing w:after="40" w:before="200"/>
      </w:pPr>
      <w:r>
        <w:rPr>
          <w:rFonts w:ascii="Calibri" w:cs="Calibri" w:eastAsia="Calibri" w:hAnsi="Calibri"/>
          <w:b/>
          <w:bCs/>
          <w:color w:val="9C6B1E"/>
          <w:sz w:val="16"/>
          <w:szCs w:val="16"/>
        </w:rPr>
        <w:t xml:space="preserve">CHAPTER IX.1</w:t>
      </w:r>
    </w:p>
    <w:p>
      <w:pPr>
        <w:spacing w:after="40"/>
      </w:pPr>
      <w:r>
        <w:rPr>
          <w:rFonts w:ascii="Georgia" w:cs="Georgia" w:eastAsia="Georgia" w:hAnsi="Georgia"/>
          <w:b/>
          <w:bCs/>
          <w:color w:val="1B2E4A"/>
          <w:sz w:val="26"/>
          <w:szCs w:val="26"/>
        </w:rPr>
        <w:t xml:space="preserve">Material Contracts and Documents for Inspection</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R14.2</w:t>
      </w:r>
    </w:p>
    <w:p>
      <w:pPr>
        <w:spacing w:after="140" w:line="276"/>
        <w:jc w:val="both"/>
      </w:pPr>
      <w:r>
        <w:rPr>
          <w:rFonts w:ascii="Georgia" w:cs="Georgia" w:eastAsia="Georgia" w:hAnsi="Georgia"/>
          <w:sz w:val="21"/>
          <w:szCs w:val="21"/>
        </w:rPr>
        <w:t xml:space="preserve">The contracts referred to below, which are or may be deemed material, have been entered into or are to be entered into by the Company. Copies of these contracts, together with the documents for inspection referred to below, will be available for inspection at the registered office of the Company between 10:00 a.m. and 5:00 p.m. on all working days from the date of the Prospectus until the Issue closing date.</w:t>
      </w:r>
    </w:p>
    <w:p>
      <w:pPr>
        <w:spacing w:after="100" w:before="200"/>
      </w:pPr>
      <w:r>
        <w:rPr>
          <w:rFonts w:ascii="Georgia" w:cs="Georgia" w:eastAsia="Georgia" w:hAnsi="Georgia"/>
          <w:b/>
          <w:bCs/>
          <w:color w:val="1B2E4A"/>
          <w:sz w:val="24"/>
          <w:szCs w:val="24"/>
        </w:rPr>
        <w:t xml:space="preserve">Material contracts</w:t>
      </w:r>
    </w:p>
    <w:p>
      <w:pPr>
        <w:pStyle w:val="ListParagraph"/>
        <w:numPr>
          <w:ilvl w:val="0"/>
          <w:numId w:val="1"/>
        </w:numPr>
        <w:spacing w:after="80"/>
        <w:ind w:left="360" w:hanging="200"/>
        <w:jc w:val="both"/>
      </w:pPr>
      <w:r>
        <w:rPr>
          <w:rFonts w:ascii="Georgia" w:cs="Georgia" w:eastAsia="Georgia" w:hAnsi="Georgia"/>
          <w:sz w:val="20"/>
          <w:szCs w:val="20"/>
        </w:rPr>
        <w:t xml:space="preserve">Issue agreement dated [·] between the Company and the Lead Manager.</w:t>
      </w:r>
    </w:p>
    <w:p>
      <w:pPr>
        <w:pStyle w:val="ListParagraph"/>
        <w:numPr>
          <w:ilvl w:val="0"/>
          <w:numId w:val="1"/>
        </w:numPr>
        <w:spacing w:after="80"/>
        <w:ind w:left="360" w:hanging="200"/>
        <w:jc w:val="both"/>
      </w:pPr>
      <w:r>
        <w:rPr>
          <w:rFonts w:ascii="Georgia" w:cs="Georgia" w:eastAsia="Georgia" w:hAnsi="Georgia"/>
          <w:sz w:val="20"/>
          <w:szCs w:val="20"/>
        </w:rPr>
        <w:t xml:space="preserve">Registrar agreement dated [·] between the Company and the Registrar to the Issue.</w:t>
      </w:r>
    </w:p>
    <w:p>
      <w:pPr>
        <w:pStyle w:val="ListParagraph"/>
        <w:numPr>
          <w:ilvl w:val="0"/>
          <w:numId w:val="1"/>
        </w:numPr>
        <w:spacing w:after="80"/>
        <w:ind w:left="360" w:hanging="200"/>
        <w:jc w:val="both"/>
      </w:pPr>
      <w:r>
        <w:rPr>
          <w:rFonts w:ascii="Georgia" w:cs="Georgia" w:eastAsia="Georgia" w:hAnsi="Georgia"/>
          <w:sz w:val="20"/>
          <w:szCs w:val="20"/>
        </w:rPr>
        <w:t xml:space="preserve">Underwriting agreement dated [·] between the Company and the Underwriter.</w:t>
      </w:r>
    </w:p>
    <w:p>
      <w:pPr>
        <w:pStyle w:val="ListParagraph"/>
        <w:numPr>
          <w:ilvl w:val="0"/>
          <w:numId w:val="1"/>
        </w:numPr>
        <w:spacing w:after="80"/>
        <w:ind w:left="360" w:hanging="200"/>
        <w:jc w:val="both"/>
      </w:pPr>
      <w:r>
        <w:rPr>
          <w:rFonts w:ascii="Georgia" w:cs="Georgia" w:eastAsia="Georgia" w:hAnsi="Georgia"/>
          <w:sz w:val="20"/>
          <w:szCs w:val="20"/>
        </w:rPr>
        <w:t xml:space="preserve">Market making agreement dated [·] between the Company, the Lead Manager and the Market Maker.</w:t>
      </w:r>
    </w:p>
    <w:p>
      <w:pPr>
        <w:pStyle w:val="ListParagraph"/>
        <w:numPr>
          <w:ilvl w:val="0"/>
          <w:numId w:val="1"/>
        </w:numPr>
        <w:spacing w:after="80"/>
        <w:ind w:left="360" w:hanging="200"/>
        <w:jc w:val="both"/>
      </w:pPr>
      <w:r>
        <w:rPr>
          <w:rFonts w:ascii="Georgia" w:cs="Georgia" w:eastAsia="Georgia" w:hAnsi="Georgia"/>
          <w:sz w:val="20"/>
          <w:szCs w:val="20"/>
        </w:rPr>
        <w:t xml:space="preserve">Banker to the Issue agreement dated [·] between the Company, the Lead Manager, the Registrar to the Issue and the Banker to the Issue.</w:t>
      </w:r>
    </w:p>
    <w:p>
      <w:pPr>
        <w:pStyle w:val="ListParagraph"/>
        <w:numPr>
          <w:ilvl w:val="0"/>
          <w:numId w:val="1"/>
        </w:numPr>
        <w:spacing w:after="80"/>
        <w:ind w:left="360" w:hanging="200"/>
        <w:jc w:val="both"/>
      </w:pPr>
      <w:r>
        <w:rPr>
          <w:rFonts w:ascii="Georgia" w:cs="Georgia" w:eastAsia="Georgia" w:hAnsi="Georgia"/>
          <w:sz w:val="20"/>
          <w:szCs w:val="20"/>
        </w:rPr>
        <w:t xml:space="preserve">Tripartite agreement between the Company, the Registrar to the Issue and the National Securities Depository Limited.</w:t>
      </w:r>
    </w:p>
    <w:p>
      <w:pPr>
        <w:pStyle w:val="ListParagraph"/>
        <w:numPr>
          <w:ilvl w:val="0"/>
          <w:numId w:val="1"/>
        </w:numPr>
        <w:spacing w:after="80"/>
        <w:ind w:left="360" w:hanging="200"/>
        <w:jc w:val="both"/>
      </w:pPr>
      <w:r>
        <w:rPr>
          <w:rFonts w:ascii="Georgia" w:cs="Georgia" w:eastAsia="Georgia" w:hAnsi="Georgia"/>
          <w:sz w:val="20"/>
          <w:szCs w:val="20"/>
        </w:rPr>
        <w:t xml:space="preserve">Tripartite agreement between the Company, the Registrar to the Issue and the Central Depository Services (India) Limited.</w:t>
      </w:r>
    </w:p>
    <w:p>
      <w:pPr>
        <w:spacing w:after="100" w:before="200"/>
      </w:pPr>
      <w:r>
        <w:rPr>
          <w:rFonts w:ascii="Georgia" w:cs="Georgia" w:eastAsia="Georgia" w:hAnsi="Georgia"/>
          <w:b/>
          <w:bCs/>
          <w:color w:val="1B2E4A"/>
          <w:sz w:val="24"/>
          <w:szCs w:val="24"/>
        </w:rPr>
        <w:t xml:space="preserve">Documents for inspection</w:t>
      </w:r>
    </w:p>
    <w:p>
      <w:pPr>
        <w:pStyle w:val="ListParagraph"/>
        <w:numPr>
          <w:ilvl w:val="0"/>
          <w:numId w:val="1"/>
        </w:numPr>
        <w:spacing w:after="80"/>
        <w:ind w:left="360" w:hanging="200"/>
        <w:jc w:val="both"/>
      </w:pPr>
      <w:r>
        <w:rPr>
          <w:rFonts w:ascii="Georgia" w:cs="Georgia" w:eastAsia="Georgia" w:hAnsi="Georgia"/>
          <w:sz w:val="20"/>
          <w:szCs w:val="20"/>
        </w:rPr>
        <w:t xml:space="preserve">Certified copies of the Memorandum and Articles of Association of the Company, as amended.</w:t>
      </w:r>
    </w:p>
    <w:p>
      <w:pPr>
        <w:pStyle w:val="ListParagraph"/>
        <w:numPr>
          <w:ilvl w:val="0"/>
          <w:numId w:val="1"/>
        </w:numPr>
        <w:spacing w:after="80"/>
        <w:ind w:left="360" w:hanging="200"/>
        <w:jc w:val="both"/>
      </w:pPr>
      <w:r>
        <w:rPr>
          <w:rFonts w:ascii="Georgia" w:cs="Georgia" w:eastAsia="Georgia" w:hAnsi="Georgia"/>
          <w:sz w:val="20"/>
          <w:szCs w:val="20"/>
        </w:rPr>
        <w:t xml:space="preserve">Certificate of incorporation of the Company.</w:t>
      </w:r>
    </w:p>
    <w:p>
      <w:pPr>
        <w:pStyle w:val="ListParagraph"/>
        <w:numPr>
          <w:ilvl w:val="0"/>
          <w:numId w:val="1"/>
        </w:numPr>
        <w:spacing w:after="80"/>
        <w:ind w:left="360" w:hanging="200"/>
        <w:jc w:val="both"/>
      </w:pPr>
      <w:r>
        <w:rPr>
          <w:rFonts w:ascii="Georgia" w:cs="Georgia" w:eastAsia="Georgia" w:hAnsi="Georgia"/>
          <w:sz w:val="20"/>
          <w:szCs w:val="20"/>
        </w:rPr>
        <w:t xml:space="preserve">Resolutions of the Board of Directors and of the shareholders authorising the Issue.</w:t>
      </w:r>
    </w:p>
    <w:p>
      <w:pPr>
        <w:pStyle w:val="ListParagraph"/>
        <w:numPr>
          <w:ilvl w:val="0"/>
          <w:numId w:val="1"/>
        </w:numPr>
        <w:spacing w:after="80"/>
        <w:ind w:left="360" w:hanging="200"/>
        <w:jc w:val="both"/>
      </w:pPr>
      <w:r>
        <w:rPr>
          <w:rFonts w:ascii="Georgia" w:cs="Georgia" w:eastAsia="Georgia" w:hAnsi="Georgia"/>
          <w:sz w:val="20"/>
          <w:szCs w:val="20"/>
        </w:rPr>
        <w:t xml:space="preserve">The Restated Financial Statements and the examination report of the peer-reviewed statutory auditor thereon.</w:t>
      </w:r>
    </w:p>
    <w:p>
      <w:pPr>
        <w:pStyle w:val="ListParagraph"/>
        <w:numPr>
          <w:ilvl w:val="0"/>
          <w:numId w:val="1"/>
        </w:numPr>
        <w:spacing w:after="80"/>
        <w:ind w:left="360" w:hanging="200"/>
        <w:jc w:val="both"/>
      </w:pPr>
      <w:r>
        <w:rPr>
          <w:rFonts w:ascii="Georgia" w:cs="Georgia" w:eastAsia="Georgia" w:hAnsi="Georgia"/>
          <w:sz w:val="20"/>
          <w:szCs w:val="20"/>
        </w:rPr>
        <w:t xml:space="preserve">The statement of special tax benefits certified by the statutory auditor.</w:t>
      </w:r>
    </w:p>
    <w:p>
      <w:pPr>
        <w:pStyle w:val="ListParagraph"/>
        <w:numPr>
          <w:ilvl w:val="0"/>
          <w:numId w:val="1"/>
        </w:numPr>
        <w:spacing w:after="80"/>
        <w:ind w:left="360" w:hanging="200"/>
        <w:jc w:val="both"/>
      </w:pPr>
      <w:r>
        <w:rPr>
          <w:rFonts w:ascii="Georgia" w:cs="Georgia" w:eastAsia="Georgia" w:hAnsi="Georgia"/>
          <w:sz w:val="20"/>
          <w:szCs w:val="20"/>
        </w:rPr>
        <w:t xml:space="preserve">Written consents of the Directors, the Company Secretary and Compliance Officer, the statutory auditor, the Lead Manager, the Registrar to the Issue, the Underwriter, the Market Maker, the bankers to the Company and the legal advisor.</w:t>
      </w:r>
    </w:p>
    <w:p>
      <w:pPr>
        <w:pStyle w:val="ListParagraph"/>
        <w:numPr>
          <w:ilvl w:val="0"/>
          <w:numId w:val="1"/>
        </w:numPr>
        <w:spacing w:after="80"/>
        <w:ind w:left="360" w:hanging="200"/>
        <w:jc w:val="both"/>
      </w:pPr>
      <w:r>
        <w:rPr>
          <w:rFonts w:ascii="Georgia" w:cs="Georgia" w:eastAsia="Georgia" w:hAnsi="Georgia"/>
          <w:sz w:val="20"/>
          <w:szCs w:val="20"/>
        </w:rPr>
        <w:t xml:space="preserve">The due diligence certificate issued by the Lead Manager to SEBI.</w:t>
      </w:r>
    </w:p>
    <w:p>
      <w:pPr>
        <w:pStyle w:val="ListParagraph"/>
        <w:numPr>
          <w:ilvl w:val="0"/>
          <w:numId w:val="1"/>
        </w:numPr>
        <w:spacing w:after="80"/>
        <w:ind w:left="360" w:hanging="200"/>
        <w:jc w:val="both"/>
      </w:pPr>
      <w:r>
        <w:rPr>
          <w:rFonts w:ascii="Georgia" w:cs="Georgia" w:eastAsia="Georgia" w:hAnsi="Georgia"/>
          <w:sz w:val="20"/>
          <w:szCs w:val="20"/>
        </w:rPr>
        <w:t xml:space="preserve">The in-principle listing approval issued by the SME Platform.</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The date of execution of each material contract must be inserted, and any contract entered into other than in the ordinary course of business in the two years preceding the date of the Prospectus must be added to this chapter.</w:t>
      </w:r>
    </w:p>
    <w:p>
      <w:pPr>
        <w:spacing w:after="40" w:before="200"/>
      </w:pPr>
      <w:r>
        <w:rPr>
          <w:rFonts w:ascii="Calibri" w:cs="Calibri" w:eastAsia="Calibri" w:hAnsi="Calibri"/>
          <w:b/>
          <w:bCs/>
          <w:color w:val="9C6B1E"/>
          <w:sz w:val="16"/>
          <w:szCs w:val="16"/>
        </w:rPr>
        <w:t xml:space="preserve">CHAPTER IX.2</w:t>
      </w:r>
    </w:p>
    <w:p>
      <w:pPr>
        <w:spacing w:after="40"/>
      </w:pPr>
      <w:r>
        <w:rPr>
          <w:rFonts w:ascii="Georgia" w:cs="Georgia" w:eastAsia="Georgia" w:hAnsi="Georgia"/>
          <w:b/>
          <w:bCs/>
          <w:color w:val="1B2E4A"/>
          <w:sz w:val="26"/>
          <w:szCs w:val="26"/>
        </w:rPr>
        <w:t xml:space="preserve">Declaration</w:t>
      </w:r>
    </w:p>
    <w:p>
      <w:pPr>
        <w:spacing w:after="140"/>
      </w:pPr>
      <w:r>
        <w:rPr>
          <w:rFonts w:ascii="Calibri" w:cs="Calibri" w:eastAsia="Calibri" w:hAnsi="Calibri"/>
          <w:i/>
          <w:iCs/>
          <w:color w:val="5B6472"/>
          <w:sz w:val="15"/>
          <w:szCs w:val="15"/>
        </w:rPr>
        <w:t xml:space="preserve">Maps to disclosure requirements: </w:t>
      </w:r>
      <w:r>
        <w:rPr>
          <w:rFonts w:ascii="Calibri" w:cs="Calibri" w:eastAsia="Calibri" w:hAnsi="Calibri"/>
          <w:color w:val="5B6472"/>
          <w:sz w:val="15"/>
          <w:szCs w:val="15"/>
        </w:rPr>
        <w:t xml:space="preserve">R15.1</w:t>
      </w:r>
    </w:p>
    <w:p>
      <w:pPr>
        <w:spacing w:after="140" w:line="276"/>
        <w:jc w:val="both"/>
      </w:pPr>
      <w:r>
        <w:rPr>
          <w:rFonts w:ascii="Georgia" w:cs="Georgia" w:eastAsia="Georgia" w:hAnsi="Georgia"/>
          <w:sz w:val="21"/>
          <w:szCs w:val="21"/>
        </w:rPr>
        <w:t xml:space="preserve">All relevant provisions of the Companies Act, 2013 and the guidelines, rules and regulations issued by the Government of India or the regulations or guidelines issued by the Securities and Exchange Board of India, established under section 3 of the Securities and Exchange Board of India Act, 1992, as the case may be, have been complied with. No statement made in this Draft Red Herring Prospectus is contrary to the provisions of the Companies Act, 2013, the Securities and Exchange Board of India Act, 1992, or the rules, regulations or guidelines issued thereunder, as the case may be.</w:t>
      </w:r>
    </w:p>
    <w:p>
      <w:pPr>
        <w:spacing w:after="140" w:line="276"/>
        <w:jc w:val="both"/>
      </w:pPr>
      <w:r>
        <w:rPr>
          <w:rFonts w:ascii="Georgia" w:cs="Georgia" w:eastAsia="Georgia" w:hAnsi="Georgia"/>
          <w:sz w:val="21"/>
          <w:szCs w:val="21"/>
        </w:rPr>
        <w:t xml:space="preserve">We further certify that all the statements and disclosures made in this Draft Red Herring Prospectus are true and correct, and do not omit disclosure of any material fact which may make the statements made therein, in light of the circumstances under which they were made, misleading.</w:t>
      </w:r>
    </w:p>
    <w:p>
      <w:pPr>
        <w:spacing w:after="140" w:line="276"/>
        <w:jc w:val="both"/>
      </w:pPr>
      <w:r>
        <w:rPr>
          <w:rFonts w:ascii="Georgia" w:cs="Georgia" w:eastAsia="Georgia" w:hAnsi="Georgia"/>
          <w:sz w:val="21"/>
          <w:szCs w:val="21"/>
        </w:rPr>
        <w:t xml:space="preserve">Signed by all the Directors of the Company and by the Chief Financial Officer and the Company Secretary and Compliance Officer.</w:t>
      </w:r>
    </w:p>
    <w:p>
      <w:pPr>
        <w:pBdr>
          <w:left w:val="single" w:color="C0504D" w:sz="18" w:space="8"/>
        </w:pBdr>
        <w:shd w:fill="FBF3F2" w:color="auto" w:val="clear"/>
        <w:spacing w:after="40" w:before="100"/>
      </w:pPr>
      <w:r>
        <w:rPr>
          <w:rFonts w:ascii="Calibri" w:cs="Calibri" w:eastAsia="Calibri" w:hAnsi="Calibri"/>
          <w:b/>
          <w:bCs/>
          <w:color w:val="9C2A26"/>
          <w:sz w:val="16"/>
          <w:szCs w:val="16"/>
        </w:rPr>
        <w:t xml:space="preserve">[ TO BE SUPPLIED ]  </w:t>
      </w:r>
      <w:r>
        <w:rPr>
          <w:rFonts w:ascii="Georgia" w:cs="Georgia" w:eastAsia="Georgia" w:hAnsi="Georgia"/>
          <w:sz w:val="20"/>
          <w:szCs w:val="20"/>
        </w:rPr>
        <w:t xml:space="preserve">Executed declaration page bearing the signatures of every Director, the Chief Financial Officer and the Company Secretary.</w:t>
      </w:r>
    </w:p>
    <w:p>
      <w:pPr>
        <w:spacing w:after="40"/>
        <w:ind w:left="460"/>
      </w:pPr>
      <w:r>
        <w:rPr>
          <w:rFonts w:ascii="Calibri" w:cs="Calibri" w:eastAsia="Calibri" w:hAnsi="Calibri"/>
          <w:color w:val="5B6472"/>
          <w:sz w:val="17"/>
          <w:szCs w:val="17"/>
        </w:rPr>
        <w:t xml:space="preserve">–  Signature of each Director named in the chapter 'Our Management'</w:t>
      </w:r>
    </w:p>
    <w:p>
      <w:pPr>
        <w:spacing w:after="40"/>
        <w:ind w:left="460"/>
      </w:pPr>
      <w:r>
        <w:rPr>
          <w:rFonts w:ascii="Calibri" w:cs="Calibri" w:eastAsia="Calibri" w:hAnsi="Calibri"/>
          <w:color w:val="5B6472"/>
          <w:sz w:val="17"/>
          <w:szCs w:val="17"/>
        </w:rPr>
        <w:t xml:space="preserve">–  Signature of the Chief Financial Officer</w:t>
      </w:r>
    </w:p>
    <w:p>
      <w:pPr>
        <w:spacing w:after="40"/>
        <w:ind w:left="460"/>
      </w:pPr>
      <w:r>
        <w:rPr>
          <w:rFonts w:ascii="Calibri" w:cs="Calibri" w:eastAsia="Calibri" w:hAnsi="Calibri"/>
          <w:color w:val="5B6472"/>
          <w:sz w:val="17"/>
          <w:szCs w:val="17"/>
        </w:rPr>
        <w:t xml:space="preserve">–  Signature of the Company Secretary and Compliance Officer</w:t>
      </w:r>
    </w:p>
    <w:p>
      <w:pPr>
        <w:spacing w:after="40"/>
        <w:ind w:left="460"/>
      </w:pPr>
      <w:r>
        <w:rPr>
          <w:rFonts w:ascii="Calibri" w:cs="Calibri" w:eastAsia="Calibri" w:hAnsi="Calibri"/>
          <w:color w:val="5B6472"/>
          <w:sz w:val="17"/>
          <w:szCs w:val="17"/>
        </w:rPr>
        <w:t xml:space="preserve">–  Place and date of signing</w:t>
      </w:r>
    </w:p>
    <w:p>
      <w:pPr>
        <w:pBdr>
          <w:left w:val="single" w:color="9C6B1E" w:sz="18" w:space="8"/>
        </w:pBdr>
        <w:shd w:fill="FBF6EC" w:color="auto" w:val="clear"/>
        <w:spacing w:after="120" w:before="120"/>
      </w:pPr>
      <w:r>
        <w:rPr>
          <w:rFonts w:ascii="Calibri" w:cs="Calibri" w:eastAsia="Calibri" w:hAnsi="Calibri"/>
          <w:b/>
          <w:bCs/>
          <w:color w:val="9C6B1E"/>
          <w:sz w:val="17"/>
          <w:szCs w:val="17"/>
        </w:rPr>
        <w:t xml:space="preserve">For the merchant banker: </w:t>
      </w:r>
      <w:r>
        <w:rPr>
          <w:rFonts w:ascii="Calibri" w:cs="Calibri" w:eastAsia="Calibri" w:hAnsi="Calibri"/>
          <w:color w:val="5B6472"/>
          <w:sz w:val="18"/>
          <w:szCs w:val="18"/>
        </w:rPr>
        <w:t xml:space="preserve">This declaration is executed at the point of filing, after the merchant banker has completed due diligence and issued the due diligence certificate. It cannot be discharged at the drafting stage.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space="4"/>
      </w:pBdr>
      <w:jc w:val="center"/>
    </w:pPr>
    <w:r>
      <w:rPr>
        <w:rFonts w:ascii="Calibri" w:cs="Calibri" w:eastAsia="Calibri" w:hAnsi="Calibri"/>
        <w:color w:val="5B6472"/>
        <w:sz w:val="14"/>
        <w:szCs w:val="14"/>
      </w:rPr>
      <w:t xml:space="preserve">Preparatory draft — not for filing    ·    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4"/>
      </w:pBdr>
      <w:jc w:val="right"/>
    </w:pPr>
    <w:r>
      <w:rPr>
        <w:rFonts w:ascii="Calibri" w:cs="Calibri" w:eastAsia="Calibri" w:hAnsi="Calibri"/>
        <w:color w:val="5B6472"/>
        <w:sz w:val="14"/>
        <w:szCs w:val="14"/>
      </w:rPr>
      <w:t xml:space="preserve">Himalayan Solar Limited — Draft Red Herring Prospectus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Himalayan Solar Limited — Draft Red Herring Prospectus</dc:title>
  <dc:creator>Drafter</dc:creator>
  <dc:description>Preparatory draft generated by Drafter. Not for filing.</dc:description>
  <cp:lastModifiedBy>Un-named</cp:lastModifiedBy>
  <cp:revision>1</cp:revision>
  <dcterms:created xsi:type="dcterms:W3CDTF">2026-07-22T06:42:03.519Z</dcterms:created>
  <dcterms:modified xsi:type="dcterms:W3CDTF">2026-07-22T06:42:03.519Z</dcterms:modified>
</cp:coreProperties>
</file>

<file path=docProps/custom.xml><?xml version="1.0" encoding="utf-8"?>
<Properties xmlns="http://schemas.openxmlformats.org/officeDocument/2006/custom-properties" xmlns:vt="http://schemas.openxmlformats.org/officeDocument/2006/docPropsVTypes"/>
</file>