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0F172A"/>
          <w:sz w:val="44"/>
        </w:rPr>
        <w:t>KubeFin AI — Response from Member 2 (Om Pawar)</w:t>
      </w:r>
    </w:p>
    <w:p>
      <w:pPr>
        <w:spacing w:after="280"/>
      </w:pPr>
      <w:r>
        <w:rPr>
          <w:color w:val="0284C7"/>
          <w:sz w:val="26"/>
        </w:rPr>
        <w:t>Feedback &amp; Architectural Clarifications on MongoDB Schemas and Redis Data Design</w:t>
      </w:r>
    </w:p>
    <w:tbl>
      <w:tblPr>
        <w:tblW w:type="auto" w:w="0"/>
        <w:jc w:val="center"/>
        <w:tblLook w:firstColumn="1" w:firstRow="1" w:lastColumn="0" w:lastRow="0" w:noHBand="0" w:noVBand="1" w:val="04A0"/>
      </w:tblPr>
      <w:tblGrid>
        <w:gridCol w:w="4680"/>
        <w:gridCol w:w="4680"/>
      </w:tblGrid>
      <w:tr>
        <w:tc>
          <w:tcPr>
            <w:tcW w:type="dxa" w:w="2880"/>
            <w:shd w:fill="F8FAFC"/>
            <w:tcMar>
              <w:top w:w="60" w:type="dxa"/>
              <w:bottom w:w="60" w:type="dxa"/>
              <w:left w:w="100" w:type="dxa"/>
              <w:right w:w="100" w:type="dxa"/>
            </w:tcMar>
          </w:tcPr>
          <w:p>
            <w:pPr>
              <w:spacing w:after="0"/>
            </w:pPr>
            <w:r>
              <w:rPr>
                <w:b/>
                <w:color w:val="475569"/>
                <w:sz w:val="19"/>
              </w:rPr>
              <w:t>From:</w:t>
            </w:r>
          </w:p>
        </w:tc>
        <w:tc>
          <w:tcPr>
            <w:tcW w:type="dxa" w:w="6480"/>
            <w:shd w:fill="FFFFFF"/>
            <w:tcMar>
              <w:top w:w="60" w:type="dxa"/>
              <w:bottom w:w="60" w:type="dxa"/>
              <w:left w:w="100" w:type="dxa"/>
              <w:right w:w="100" w:type="dxa"/>
            </w:tcMar>
          </w:tcPr>
          <w:p>
            <w:pPr>
              <w:spacing w:after="0"/>
            </w:pPr>
            <w:r>
              <w:rPr>
                <w:color w:val="0F172A"/>
                <w:sz w:val="19"/>
              </w:rPr>
              <w:t>Om Pawar — Member 2 (Frontend &amp; Shared Contracts Lead)</w:t>
            </w:r>
          </w:p>
        </w:tc>
      </w:tr>
      <w:tr>
        <w:tc>
          <w:tcPr>
            <w:tcW w:type="dxa" w:w="2880"/>
            <w:shd w:fill="F8FAFC"/>
            <w:tcMar>
              <w:top w:w="60" w:type="dxa"/>
              <w:bottom w:w="60" w:type="dxa"/>
              <w:left w:w="100" w:type="dxa"/>
              <w:right w:w="100" w:type="dxa"/>
            </w:tcMar>
          </w:tcPr>
          <w:p>
            <w:pPr>
              <w:spacing w:after="0"/>
            </w:pPr>
            <w:r>
              <w:rPr>
                <w:b/>
                <w:color w:val="475569"/>
                <w:sz w:val="19"/>
              </w:rPr>
              <w:t>To:</w:t>
            </w:r>
          </w:p>
        </w:tc>
        <w:tc>
          <w:tcPr>
            <w:tcW w:type="dxa" w:w="6480"/>
            <w:shd w:fill="FFFFFF"/>
            <w:tcMar>
              <w:top w:w="60" w:type="dxa"/>
              <w:bottom w:w="60" w:type="dxa"/>
              <w:left w:w="100" w:type="dxa"/>
              <w:right w:w="100" w:type="dxa"/>
            </w:tcMar>
          </w:tcPr>
          <w:p>
            <w:pPr>
              <w:spacing w:after="0"/>
            </w:pPr>
            <w:r>
              <w:rPr>
                <w:color w:val="0F172A"/>
                <w:sz w:val="19"/>
              </w:rPr>
              <w:t>Atharva Pawaskar (Member 3 — Worker/DevOps) &amp; Vedant Rathod (Member 1 — Gateway)</w:t>
            </w:r>
          </w:p>
        </w:tc>
      </w:tr>
      <w:tr>
        <w:tc>
          <w:tcPr>
            <w:tcW w:type="dxa" w:w="2880"/>
            <w:shd w:fill="F8FAFC"/>
            <w:tcMar>
              <w:top w:w="60" w:type="dxa"/>
              <w:bottom w:w="60" w:type="dxa"/>
              <w:left w:w="100" w:type="dxa"/>
              <w:right w:w="100" w:type="dxa"/>
            </w:tcMar>
          </w:tcPr>
          <w:p>
            <w:pPr>
              <w:spacing w:after="0"/>
            </w:pPr>
            <w:r>
              <w:rPr>
                <w:b/>
                <w:color w:val="475569"/>
                <w:sz w:val="19"/>
              </w:rPr>
              <w:t>Context / PR:</w:t>
            </w:r>
          </w:p>
        </w:tc>
        <w:tc>
          <w:tcPr>
            <w:tcW w:type="dxa" w:w="6480"/>
            <w:shd w:fill="FFFFFF"/>
            <w:tcMar>
              <w:top w:w="60" w:type="dxa"/>
              <w:bottom w:w="60" w:type="dxa"/>
              <w:left w:w="100" w:type="dxa"/>
              <w:right w:w="100" w:type="dxa"/>
            </w:tcMar>
          </w:tcPr>
          <w:p>
            <w:pPr>
              <w:spacing w:after="0"/>
            </w:pPr>
            <w:r>
              <w:rPr>
                <w:color w:val="0F172A"/>
                <w:sz w:val="19"/>
              </w:rPr>
              <w:t>Follow-up to PR #2 (contracts/api/control-plane-api.v1.yaml) &amp; Implementation Prep</w:t>
            </w:r>
          </w:p>
        </w:tc>
      </w:tr>
      <w:tr>
        <w:tc>
          <w:tcPr>
            <w:tcW w:type="dxa" w:w="2880"/>
            <w:shd w:fill="F8FAFC"/>
            <w:tcMar>
              <w:top w:w="60" w:type="dxa"/>
              <w:bottom w:w="60" w:type="dxa"/>
              <w:left w:w="100" w:type="dxa"/>
              <w:right w:w="100" w:type="dxa"/>
            </w:tcMar>
          </w:tcPr>
          <w:p>
            <w:pPr>
              <w:spacing w:after="0"/>
            </w:pPr>
            <w:r>
              <w:rPr>
                <w:b/>
                <w:color w:val="475569"/>
                <w:sz w:val="19"/>
              </w:rPr>
              <w:t>Repository:</w:t>
            </w:r>
          </w:p>
        </w:tc>
        <w:tc>
          <w:tcPr>
            <w:tcW w:type="dxa" w:w="6480"/>
            <w:shd w:fill="FFFFFF"/>
            <w:tcMar>
              <w:top w:w="60" w:type="dxa"/>
              <w:bottom w:w="60" w:type="dxa"/>
              <w:left w:w="100" w:type="dxa"/>
              <w:right w:w="100" w:type="dxa"/>
            </w:tcMar>
          </w:tcPr>
          <w:p>
            <w:pPr>
              <w:spacing w:after="0"/>
            </w:pPr>
            <w:r>
              <w:rPr>
                <w:color w:val="0F172A"/>
                <w:sz w:val="19"/>
              </w:rPr>
              <w:t>https://github.com/atharvapawaskar/KubeFin-Ai</w:t>
            </w:r>
          </w:p>
        </w:tc>
      </w:tr>
    </w:tbl>
    <w:p>
      <w:pPr>
        <w:spacing w:after="240"/>
      </w:pPr>
    </w:p>
    <w:tbl>
      <w:tblPr>
        <w:tblW w:type="auto" w:w="0"/>
        <w:jc w:val="center"/>
        <w:tblLook w:firstColumn="1" w:firstRow="1" w:lastColumn="0" w:lastRow="0" w:noHBand="0" w:noVBand="1" w:val="04A0"/>
      </w:tblPr>
      <w:tblGrid>
        <w:gridCol w:w="9360"/>
      </w:tblGrid>
      <w:tr>
        <w:tc>
          <w:tcPr>
            <w:tcW w:type="dxa" w:w="9360"/>
            <w:shd w:fill="EFF6FF"/>
            <w:tcMar>
              <w:top w:w="100" w:type="dxa"/>
              <w:bottom w:w="100" w:type="dxa"/>
              <w:left w:w="180" w:type="dxa"/>
              <w:right w:w="180" w:type="dxa"/>
            </w:tcMar>
            <w:tcBorders>
              <w:top w:val="none"/>
              <w:bottom w:val="none"/>
              <w:left w:val="single" w:sz="24" w:space="0" w:color="2563EB"/>
              <w:right w:val="none"/>
            </w:tcBorders>
          </w:tcPr>
          <w:p>
            <w:pPr>
              <w:spacing w:before="40" w:after="40"/>
            </w:pPr>
            <w:r>
              <w:rPr>
                <w:rFonts w:ascii="Calibri" w:hAnsi="Calibri"/>
                <w:b/>
                <w:color w:val="1D4ED8"/>
                <w:sz w:val="20"/>
              </w:rPr>
              <w:t xml:space="preserve">[MEMBER 2 PERSPECTIVE] </w:t>
            </w:r>
            <w:r>
              <w:rPr>
                <w:rFonts w:ascii="Calibri" w:hAnsi="Calibri"/>
                <w:color w:val="1E293B"/>
                <w:sz w:val="20"/>
              </w:rPr>
              <w:t>Hey Atharva &amp; Vedant — As Member 2 (Frontend), my direct implementation boundary is the React dashboard and the Control Plane API contract (which I merged in PR #2). Reminder: per docs/ARCHITECTURE.md, the frontend NEVER accesses MongoDB or Redis directly. However, to ensure seamless integration between the Worker and the Control Plane API, here are my answers and agreed recommendations based on our contracts and PRD.</w:t>
            </w:r>
          </w:p>
        </w:tc>
      </w:tr>
    </w:tbl>
    <w:p>
      <w:pPr>
        <w:spacing w:after="80"/>
      </w:pPr>
    </w:p>
    <w:p>
      <w:pPr>
        <w:spacing w:after="320"/>
      </w:pPr>
      <w:r>
        <w:rPr>
          <w:color w:val="CBD5E1"/>
        </w:rPr>
        <w:t>―――――――――――――――――――――――――――――――――――――――――――――――――――――――</w:t>
      </w:r>
    </w:p>
    <w:p>
      <w:pPr>
        <w:keepNext/>
        <w:spacing w:before="280" w:after="120"/>
      </w:pPr>
      <w:r>
        <w:rPr>
          <w:b/>
          <w:color w:val="0284C7"/>
          <w:sz w:val="27"/>
        </w:rPr>
        <w:t xml:space="preserve">Q1. </w:t>
      </w:r>
      <w:r>
        <w:rPr>
          <w:b/>
          <w:color w:val="0F172A"/>
          <w:sz w:val="27"/>
        </w:rPr>
        <w:t>Agreed MongoDB Schema for Raw Usage Events &amp; Cost Aggregations</w:t>
      </w:r>
    </w:p>
    <w:p>
      <w:r>
        <w:t>In PR #2, I defined the Control Plane API (contracts/api/control-plane-api.v1.yaml), which dictates what the UI expects from the Worker's aggregated data. For the database layer, Worker (M3) owns writing to usage_events and cost_aggregations. Here are the schemas that cleanly satisfy our frontend API requirements:</w:t>
      </w:r>
    </w:p>
    <w:p>
      <w:r>
        <w:rPr>
          <w:b/>
        </w:rPr>
        <w:t>A. usage_events (Raw time-series collection, written by Worker):</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top w:val="single" w:sz="4" w:space="0" w:color="CBD5E1"/>
              <w:bottom w:val="single" w:sz="4" w:space="0" w:color="CBD5E1"/>
              <w:left w:val="single" w:sz="18" w:space="0" w:color="0284C7"/>
              <w:right w:val="single" w:sz="4" w:space="0" w:color="CBD5E1"/>
            </w:tcBorders>
          </w:tcPr>
          <w:p>
            <w:pPr>
              <w:spacing w:before="40" w:after="40" w:line="276" w:lineRule="auto"/>
            </w:pPr>
            <w:r>
              <w:rPr>
                <w:rFonts w:ascii="Consolas" w:hAnsi="Consolas"/>
                <w:color w:val="0F172A"/>
                <w:sz w:val="19"/>
              </w:rPr>
              <w:t>{</w:t>
              <w:br/>
              <w:t xml:space="preserve">  "$schema": "http://json-schema.org/draft-07/schema#",</w:t>
              <w:br/>
              <w:t xml:space="preserve">  "title": "usage_events",</w:t>
              <w:br/>
              <w:t xml:space="preserve">  "type": "object",</w:t>
              <w:br/>
              <w:t xml:space="preserve">  "required": [</w:t>
              <w:br/>
              <w:t xml:space="preserve">    "_id", "eventId", "tenantId", "timestamp", "provider",</w:t>
              <w:br/>
              <w:t xml:space="preserve">    "model", "inputTokens", "outputTokens", "totalTokens",</w:t>
              <w:br/>
              <w:t xml:space="preserve">    "costUsd", "statusCode"</w:t>
              <w:br/>
              <w:t xml:space="preserve">  ],</w:t>
              <w:br/>
              <w:t xml:space="preserve">  "properties": {</w:t>
              <w:br/>
              <w:t xml:space="preserve">    "_id": { "type": "string", "description": "Set to eventId for idempotency" },</w:t>
              <w:br/>
              <w:t xml:space="preserve">    "eventId": { "type": "string" },</w:t>
              <w:br/>
              <w:t xml:space="preserve">    "tenantId": { "type": "string", "minLength": 1 },</w:t>
              <w:br/>
              <w:t xml:space="preserve">    "teamId": { "type": "string" },</w:t>
              <w:br/>
              <w:t xml:space="preserve">    "workloadId": { "type": "string" },</w:t>
              <w:br/>
              <w:t xml:space="preserve">    "provider": { "type": "string" },</w:t>
              <w:br/>
              <w:t xml:space="preserve">    "model": { "type": "string" },</w:t>
              <w:br/>
              <w:t xml:space="preserve">    "inputTokens": { "type": "integer", "minimum": 0 },</w:t>
              <w:br/>
              <w:t xml:space="preserve">    "outputTokens": { "type": "integer", "minimum": 0 },</w:t>
              <w:br/>
              <w:t xml:space="preserve">    "totalTokens": { "type": "integer", "minimum": 0 },</w:t>
              <w:br/>
              <w:t xml:space="preserve">    "costUsd": { "type": "number", "minimum": 0 },</w:t>
              <w:br/>
              <w:t xml:space="preserve">    "latencyMs": { "type": "number", "minimum": 0 },</w:t>
              <w:br/>
              <w:t xml:space="preserve">    "statusCode": { "type": "integer" },</w:t>
              <w:br/>
              <w:t xml:space="preserve">    "timestamp": { "type": "string", "format": "date-time" }</w:t>
              <w:br/>
              <w:t xml:space="preserve">  }</w:t>
              <w:br/>
              <w:t>}</w:t>
            </w:r>
          </w:p>
        </w:tc>
      </w:tr>
    </w:tbl>
    <w:p>
      <w:pPr>
        <w:spacing w:after="80"/>
      </w:pPr>
    </w:p>
    <w:p>
      <w:r>
        <w:rPr>
          <w:b/>
        </w:rPr>
        <w:t>B. cost_aggregations (Hourly &amp; daily rollups backing /api/v1/analytics/spend):</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200" w:type="dxa"/>
              <w:right w:w="200" w:type="dxa"/>
            </w:tcMar>
            <w:tcBorders>
              <w:top w:val="single" w:sz="4" w:space="0" w:color="CBD5E1"/>
              <w:bottom w:val="single" w:sz="4" w:space="0" w:color="CBD5E1"/>
              <w:left w:val="single" w:sz="18" w:space="0" w:color="0284C7"/>
              <w:right w:val="single" w:sz="4" w:space="0" w:color="CBD5E1"/>
            </w:tcBorders>
          </w:tcPr>
          <w:p>
            <w:pPr>
              <w:spacing w:before="40" w:after="40" w:line="276" w:lineRule="auto"/>
            </w:pPr>
            <w:r>
              <w:rPr>
                <w:rFonts w:ascii="Consolas" w:hAnsi="Consolas"/>
                <w:color w:val="0F172A"/>
                <w:sz w:val="19"/>
              </w:rPr>
              <w:t>{</w:t>
              <w:br/>
              <w:t xml:space="preserve">  "$schema": "http://json-schema.org/draft-07/schema#",</w:t>
              <w:br/>
              <w:t xml:space="preserve">  "title": "cost_aggregations",</w:t>
              <w:br/>
              <w:t xml:space="preserve">  "type": "object",</w:t>
              <w:br/>
              <w:t xml:space="preserve">  "required": [</w:t>
              <w:br/>
              <w:t xml:space="preserve">    "_id", "tenantId", "period", "bucketStart",</w:t>
              <w:br/>
              <w:t xml:space="preserve">    "costUsd", "requests", "inputTokens", "outputTokens"</w:t>
              <w:br/>
              <w:t xml:space="preserve">  ],</w:t>
              <w:br/>
              <w:t xml:space="preserve">  "properties": {</w:t>
              <w:br/>
              <w:t xml:space="preserve">    "_id": { "type": "string", "description": "Compound key: tenantId#period#bucketStart#dimensionsHash" },</w:t>
              <w:br/>
              <w:t xml:space="preserve">    "tenantId": { "type": "string", "minLength": 1 },</w:t>
              <w:br/>
              <w:t xml:space="preserve">    "period": { "enum": ["hour", "day"] },</w:t>
              <w:br/>
              <w:t xml:space="preserve">    "bucketStart": { "type": "string", "format": "date-time" },</w:t>
              <w:br/>
              <w:t xml:space="preserve">    "teamId": { "type": "string" },</w:t>
              <w:br/>
              <w:t xml:space="preserve">    "workloadId": { "type": "string" },</w:t>
              <w:br/>
              <w:t xml:space="preserve">    "provider": { "type": "string" },</w:t>
              <w:br/>
              <w:t xml:space="preserve">    "model": { "type": "string" },</w:t>
              <w:br/>
              <w:t xml:space="preserve">    "costUsd": { "type": "number", "minimum": 0 },</w:t>
              <w:br/>
              <w:t xml:space="preserve">    "requests": { "type": "integer", "minimum": 0 },</w:t>
              <w:br/>
              <w:t xml:space="preserve">    "inputTokens": { "type": "integer", "minimum": 0 },</w:t>
              <w:br/>
              <w:t xml:space="preserve">    "outputTokens": { "type": "integer", "minimum": 0 },</w:t>
              <w:br/>
              <w:t xml:space="preserve">    "totalLatencyMs": { "type": "number", "minimum": 0 },</w:t>
              <w:br/>
              <w:t xml:space="preserve">    "errorCount": { "type": "integer", "minimum": 0 },</w:t>
              <w:br/>
              <w:t xml:space="preserve">    "updatedAt": { "type": "string", "format": "date-time" }</w:t>
              <w:br/>
              <w:t xml:space="preserve">  }</w:t>
              <w:br/>
              <w:t>}</w:t>
            </w:r>
          </w:p>
        </w:tc>
      </w:tr>
    </w:tbl>
    <w:p>
      <w:pPr>
        <w:spacing w:after="80"/>
      </w:pPr>
    </w:p>
    <w:p>
      <w:pPr>
        <w:keepNext/>
        <w:spacing w:before="280" w:after="120"/>
      </w:pPr>
      <w:r>
        <w:rPr>
          <w:b/>
          <w:color w:val="0284C7"/>
          <w:sz w:val="27"/>
        </w:rPr>
        <w:t xml:space="preserve">Q2. </w:t>
      </w:r>
      <w:r>
        <w:rPr>
          <w:b/>
          <w:color w:val="0F172A"/>
          <w:sz w:val="27"/>
        </w:rPr>
        <w:t>Collection Names &amp; Required Fields (Event ID &amp; Tenant ID)</w:t>
      </w:r>
    </w:p>
    <w:p>
      <w:r>
        <w:rPr>
          <w:b/>
        </w:rPr>
        <w:t xml:space="preserve">Collection Names: </w:t>
      </w:r>
      <w:r>
        <w:t xml:space="preserve">As documented in ARCHITECTURE.md §D and §E, use lower snake_case: </w:t>
      </w:r>
      <w:r>
        <w:rPr>
          <w:b/>
        </w:rPr>
        <w:t>usage_events</w:t>
      </w:r>
      <w:r>
        <w:t xml:space="preserve"> and </w:t>
      </w:r>
      <w:r>
        <w:rPr>
          <w:b/>
        </w:rPr>
        <w:t>cost_aggregations</w:t>
      </w:r>
      <w:r>
        <w:t xml:space="preserve"> (matching existing budgets, recommendations, pricing, audit_logs).</w:t>
      </w:r>
    </w:p>
    <w:p>
      <w:pPr>
        <w:pStyle w:val="ListBullet"/>
      </w:pPr>
      <w:r>
        <w:rPr>
          <w:b/>
        </w:rPr>
        <w:t xml:space="preserve">tenantId: </w:t>
      </w:r>
      <w:r>
        <w:t>MANDATORY on every document across both collections. Must be non-empty (minLength: 1). The frontend will always filter by tenantId, and the API will reject any request without it.</w:t>
      </w:r>
    </w:p>
    <w:p>
      <w:pPr>
        <w:pStyle w:val="ListBullet"/>
      </w:pPr>
      <w:r>
        <w:rPr>
          <w:b/>
        </w:rPr>
        <w:t xml:space="preserve">eventId: </w:t>
      </w:r>
      <w:r>
        <w:t>Generated by Gateway (M1) as a UUID/nanoid. Atharva, map this directly to MongoDB's _id (_id: eventId) in usage_events. This prevents duplicate writes if a Redis event is re-processed.</w:t>
      </w:r>
    </w:p>
    <w:p>
      <w:pPr>
        <w:keepNext/>
        <w:spacing w:before="280" w:after="120"/>
      </w:pPr>
      <w:r>
        <w:rPr>
          <w:b/>
          <w:color w:val="0284C7"/>
          <w:sz w:val="27"/>
        </w:rPr>
        <w:t xml:space="preserve">Q3. </w:t>
      </w:r>
      <w:r>
        <w:rPr>
          <w:b/>
          <w:color w:val="0F172A"/>
          <w:sz w:val="27"/>
        </w:rPr>
        <w:t>Indexes and Retention / TTL Rules</w:t>
      </w:r>
    </w:p>
    <w:p>
      <w:r>
        <w:t>To ensure the dashboard loads queries under our 2-second SLA (PRD § Success Metrics), Worker must configure these indexes:</w:t>
      </w:r>
    </w:p>
    <w:p>
      <w:pPr>
        <w:pStyle w:val="ListBullet"/>
      </w:pPr>
      <w:r>
        <w:rPr>
          <w:b/>
        </w:rPr>
        <w:t xml:space="preserve">usage_events: </w:t>
      </w:r>
      <w:r>
        <w:t>Multi-tenant query index { tenantId: 1, timestamp: -1 } and dimensional index { tenantId: 1, provider: 1, model: 1, timestamp: -1 }.</w:t>
      </w:r>
    </w:p>
    <w:p>
      <w:pPr>
        <w:pStyle w:val="ListBullet"/>
      </w:pPr>
      <w:r>
        <w:rPr>
          <w:b/>
        </w:rPr>
        <w:t xml:space="preserve">usage_events TTL: </w:t>
      </w:r>
      <w:r>
        <w:t>Set 30-day TTL (2,592,000s) on timestamp: db.usage_events.createIndex({ timestamp: 1 }, { expireAfterSeconds: 2592000 }). Raw events are high volume and rollups will already be saved.</w:t>
      </w:r>
    </w:p>
    <w:p>
      <w:pPr>
        <w:pStyle w:val="ListBullet"/>
      </w:pPr>
      <w:r>
        <w:rPr>
          <w:b/>
        </w:rPr>
        <w:t xml:space="preserve">cost_aggregations: </w:t>
      </w:r>
      <w:r>
        <w:t>Compound index { tenantId: 1, period: 1, bucketStart: 1 } for the spend chart. Plus a unique compound index across all rollup dimensions to allow atomic $inc upserts.</w:t>
      </w:r>
    </w:p>
    <w:p>
      <w:pPr>
        <w:pStyle w:val="ListBullet"/>
      </w:pPr>
      <w:r>
        <w:rPr>
          <w:b/>
        </w:rPr>
        <w:t xml:space="preserve">cost_aggregations TTL: </w:t>
      </w:r>
      <w:r>
        <w:t>Hourly rollups: 90 days. Daily rollups: Indefinite (DO NOT expire daily rollups, as FinOps requires year-over-year spend trends).</w:t>
      </w:r>
    </w:p>
    <w:p>
      <w:pPr>
        <w:keepNext/>
        <w:spacing w:before="280" w:after="120"/>
      </w:pPr>
      <w:r>
        <w:rPr>
          <w:b/>
          <w:color w:val="0284C7"/>
          <w:sz w:val="27"/>
        </w:rPr>
        <w:t xml:space="preserve">Q4. </w:t>
      </w:r>
      <w:r>
        <w:rPr>
          <w:b/>
          <w:color w:val="0F172A"/>
          <w:sz w:val="27"/>
        </w:rPr>
        <w:t>Cost Representation (Decimal128 vs Integer Micro-Units)</w:t>
      </w:r>
    </w:p>
    <w:p>
      <w:r>
        <w:t>From the Frontend (M2) perspective:</w:t>
      </w:r>
    </w:p>
    <w:p>
      <w:pPr>
        <w:pStyle w:val="ListBullet"/>
      </w:pPr>
      <w:r>
        <w:rPr>
          <w:b/>
        </w:rPr>
        <w:t xml:space="preserve">API Wire Format: </w:t>
      </w:r>
      <w:r>
        <w:t>In control-plane-api.v1.yaml, costUsd is typed as number. The frontend charts expect standard decimal numbers (e.g. 142.30).</w:t>
      </w:r>
    </w:p>
    <w:p>
      <w:pPr>
        <w:pStyle w:val="ListBullet"/>
      </w:pPr>
      <w:r>
        <w:rPr>
          <w:b/>
        </w:rPr>
        <w:t xml:space="preserve">MongoDB Storage: </w:t>
      </w:r>
      <w:r>
        <w:t>Store internally as Decimal128 (BSON Type 19). Because individual LLM tokens cost fractions of a cent ($0.00000015), standard JS floats will suffer floating-point drift over millions of records during $inc and $sum.</w:t>
      </w:r>
    </w:p>
    <w:p>
      <w:pPr>
        <w:keepNext/>
        <w:spacing w:before="280" w:after="120"/>
      </w:pPr>
      <w:r>
        <w:rPr>
          <w:b/>
          <w:color w:val="0284C7"/>
          <w:sz w:val="27"/>
        </w:rPr>
        <w:t xml:space="preserve">Q5. </w:t>
      </w:r>
      <w:r>
        <w:rPr>
          <w:b/>
          <w:color w:val="0F172A"/>
          <w:sz w:val="27"/>
        </w:rPr>
        <w:t>Redis Stream &amp; Consumer Group Conventions</w:t>
      </w:r>
    </w:p>
    <w:p>
      <w:r>
        <w:t>Per ARCHITECTURE.md §D and PHASES.md Phase 1 &amp; 2:</w:t>
      </w:r>
    </w:p>
    <w:p>
      <w:pPr>
        <w:pStyle w:val="ListBullet"/>
      </w:pPr>
      <w:r>
        <w:rPr>
          <w:b/>
        </w:rPr>
        <w:t xml:space="preserve">Stream Key: </w:t>
      </w:r>
      <w:r>
        <w:t>usage-events (produced by Gateway / Vedant via XADD).</w:t>
      </w:r>
    </w:p>
    <w:p>
      <w:pPr>
        <w:pStyle w:val="ListBullet"/>
      </w:pPr>
      <w:r>
        <w:rPr>
          <w:b/>
        </w:rPr>
        <w:t xml:space="preserve">Consumer Group: </w:t>
      </w:r>
      <w:r>
        <w:t>kubefin-worker-cg.</w:t>
      </w:r>
    </w:p>
    <w:p>
      <w:pPr>
        <w:pStyle w:val="ListBullet"/>
      </w:pPr>
      <w:r>
        <w:rPr>
          <w:b/>
        </w:rPr>
        <w:t xml:space="preserve">Who Owns Creation? </w:t>
      </w:r>
      <w:r>
        <w:t>Atharva, your Worker owns creating the group on boot using: XGROUP CREATE usage-events kubefin-worker-cg $ MKSTREAM (and catching the BUSYGROUP error). MKSTREAM ensures the stream is created even if Gateway hasn't sent the first event yet.</w:t>
      </w:r>
    </w:p>
    <w:p>
      <w:pPr>
        <w:keepNext/>
        <w:spacing w:before="280" w:after="120"/>
      </w:pPr>
      <w:r>
        <w:rPr>
          <w:b/>
          <w:color w:val="0284C7"/>
          <w:sz w:val="27"/>
        </w:rPr>
        <w:t xml:space="preserve">Q6. </w:t>
      </w:r>
      <w:r>
        <w:rPr>
          <w:b/>
          <w:color w:val="0F172A"/>
          <w:sz w:val="27"/>
        </w:rPr>
        <w:t>Tenant-Scoping Rules</w:t>
      </w:r>
    </w:p>
    <w:p>
      <w:r>
        <w:t>All Worker operations must follow these four non-negotiable rules for soft multi-tenancy:</w:t>
      </w:r>
    </w:p>
    <w:p>
      <w:pPr>
        <w:pStyle w:val="ListBullet"/>
      </w:pPr>
      <w:r>
        <w:rPr>
          <w:b/>
        </w:rPr>
        <w:t xml:space="preserve">1. Write Isolation: </w:t>
      </w:r>
      <w:r>
        <w:t>Every single document written to Mongo must include tenantId.</w:t>
      </w:r>
    </w:p>
    <w:p>
      <w:pPr>
        <w:pStyle w:val="ListBullet"/>
      </w:pPr>
      <w:r>
        <w:rPr>
          <w:b/>
        </w:rPr>
        <w:t xml:space="preserve">2. Query Filtering: </w:t>
      </w:r>
      <w:r>
        <w:t>Every aggregation and query must start with { $match: { tenantId: targetTenant } }. Never run unbounded global scans.</w:t>
      </w:r>
    </w:p>
    <w:p>
      <w:pPr>
        <w:pStyle w:val="ListBullet"/>
      </w:pPr>
      <w:r>
        <w:rPr>
          <w:b/>
        </w:rPr>
        <w:t xml:space="preserve">3. Grouping: </w:t>
      </w:r>
      <w:r>
        <w:t>Aggregation $group stages must include tenantId in their compound _id.</w:t>
      </w:r>
    </w:p>
    <w:p>
      <w:pPr>
        <w:pStyle w:val="ListBullet"/>
      </w:pPr>
      <w:r>
        <w:rPr>
          <w:b/>
        </w:rPr>
        <w:t xml:space="preserve">4. Idempotency Keys: </w:t>
      </w:r>
      <w:r>
        <w:t>Deduplication hashes must be tenant-prefixed: ${tenantId}:${eventId}.</w:t>
      </w:r>
    </w:p>
    <w:p>
      <w:pPr>
        <w:keepNext/>
        <w:spacing w:before="280" w:after="120"/>
      </w:pPr>
      <w:r>
        <w:rPr>
          <w:b/>
          <w:color w:val="0284C7"/>
          <w:sz w:val="27"/>
        </w:rPr>
        <w:t xml:space="preserve">Q7. </w:t>
      </w:r>
      <w:r>
        <w:rPr>
          <w:b/>
          <w:color w:val="0F172A"/>
          <w:sz w:val="27"/>
        </w:rPr>
        <w:t>Rollup Strategy &amp; Local MongoDB Transaction Support</w:t>
      </w:r>
    </w:p>
    <w:p>
      <w:r>
        <w:rPr>
          <w:b/>
        </w:rPr>
        <w:t xml:space="preserve">Local Transaction Support: </w:t>
      </w:r>
      <w:r>
        <w:rPr>
          <w:b/>
          <w:color w:val="DC2626"/>
        </w:rPr>
        <w:t>NO. Multi-document transactions are NOT supported locally.</w:t>
      </w:r>
    </w:p>
    <w:p>
      <w:r>
        <w:t>Our docker-compose.yml runs a standalone mongo:7 container without a replica set (--replSet). Calling session.startTransaction() will fail with an error.</w:t>
      </w:r>
    </w:p>
    <w:p>
      <w:r>
        <w:rPr>
          <w:b/>
        </w:rPr>
        <w:t>Recommended Rollup Strategy:</w:t>
      </w:r>
    </w:p>
    <w:p>
      <w:pPr>
        <w:pStyle w:val="ListBullet"/>
      </w:pPr>
      <w:r>
        <w:rPr>
          <w:b/>
        </w:rPr>
        <w:t xml:space="preserve">Real-time Ingestion: </w:t>
      </w:r>
      <w:r>
        <w:t>Use single-document atomic $inc upserts on cost_aggregations with upsert: true. In MongoDB, single-document updates are inherently atomic without transactions.</w:t>
      </w:r>
    </w:p>
    <w:p>
      <w:pPr>
        <w:pStyle w:val="ListBullet"/>
      </w:pPr>
      <w:r>
        <w:rPr>
          <w:b/>
        </w:rPr>
        <w:t xml:space="preserve">Reconciliation Cron: </w:t>
      </w:r>
      <w:r>
        <w:t>Run a scheduled cron job (ARCHITECTURE.md line 178) that recomputes closed buckets directly from usage_events using an aggregation pipeline. This heals any out-of-order Redis deliveries cleanly.</w:t>
      </w:r>
    </w:p>
    <w:p>
      <w:pPr>
        <w:keepNext/>
        <w:spacing w:before="280" w:after="120"/>
      </w:pPr>
      <w:r>
        <w:rPr>
          <w:b/>
          <w:color w:val="0284C7"/>
          <w:sz w:val="27"/>
        </w:rPr>
        <w:t xml:space="preserve">Q8. </w:t>
      </w:r>
      <w:r>
        <w:rPr>
          <w:b/>
          <w:color w:val="0F172A"/>
          <w:sz w:val="27"/>
        </w:rPr>
        <w:t>Recommendation Schema Finality for Slice 1</w:t>
      </w:r>
    </w:p>
    <w:p>
      <w:r>
        <w:rPr>
          <w:b/>
          <w:color w:val="16A34A"/>
        </w:rPr>
        <w:t>YES! The recommendation schema is 100% FINAL for Slice 1 (Phase 8 MVP).</w:t>
      </w:r>
    </w:p>
    <w:p>
      <w:r>
        <w:t>In PR #2, I merged contracts/db/recommendations.v1.json and the matching API schema in control-plane-api.v1.yaml. It supports the 3 core actions we agreed upon in PHASES.md: switch_model, switch_provider, and enable_cache.</w:t>
      </w:r>
    </w:p>
    <w:p>
      <w:r>
        <w:t>Atharva, you can build your Worker recommendation engine to write documents directly matching recommendations.v1.json. Any future fields (like status: 'applied' | 'dismissed') will be added as backward-compatible optional fields per our contract rules.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