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QWeave Architecture Mathematical Foundations and Technology Stack</w:t>
      </w:r>
    </w:p>
    <w:p>
      <w:pPr>
        <w:spacing w:after="140"/>
        <w:jc w:val="center"/>
      </w:pPr>
      <w:r>
        <w:rPr>
          <w:rFonts w:ascii="Times New Roman" w:hAnsi="Times New Roman" w:eastAsia="Times New Roman"/>
          <w:i/>
          <w:sz w:val="23"/>
        </w:rPr>
        <w:t>Implementation blueprint with proof obligations and LaTeX-ready mathematics</w:t>
      </w:r>
    </w:p>
    <w:p>
      <w:pPr>
        <w:spacing w:after="40"/>
        <w:jc w:val="center"/>
      </w:pPr>
      <w:r>
        <w:rPr>
          <w:rFonts w:ascii="Times New Roman" w:hAnsi="Times New Roman" w:eastAsia="Times New Roman"/>
          <w:sz w:val="18"/>
        </w:rPr>
        <w:t>Team: Shrivardhini N | Atharva Sheersh Pandey | Diptesh Das | Haridasu Sreedhar</w:t>
      </w:r>
    </w:p>
    <w:p>
      <w:pPr>
        <w:spacing w:after="180"/>
        <w:jc w:val="center"/>
      </w:pPr>
      <w:r>
        <w:rPr>
          <w:rFonts w:ascii="Times New Roman" w:hAnsi="Times New Roman" w:eastAsia="Times New Roman"/>
          <w:sz w:val="18"/>
        </w:rPr>
        <w:t>Guide: Prof. Bhuvaneswari M  |  Planning horizon: 21 days  |  Version: 1.0</w:t>
      </w:r>
    </w:p>
    <w:p>
      <w:pPr>
        <w:pStyle w:val="Heading1"/>
      </w:pPr>
      <w:r>
        <w:t>Executive Design Decision</w:t>
      </w:r>
    </w:p>
    <w:p>
      <w:r>
        <w:rPr>
          <w:rFonts w:ascii="Times New Roman" w:hAnsi="Times New Roman" w:eastAsia="Times New Roman"/>
          <w:i w:val="0"/>
        </w:rPr>
        <w:t>Build QWeave as a Qiskit-compatible staged compiler with a strict safety boundary around the learned router. The heuristic mapper creates a strong deterministic starting state; the GNN-PPO policy chooses among legal routing actions; a watchdog and shortest-path fallback guarantee progress; the depth-aware scheduler determines realised makespan; and validators reject any circuit that violates connectivity, dependencies, or equivalence.</w:t>
      </w:r>
    </w:p>
    <w:p>
      <w:pPr>
        <w:spacing w:before="80" w:after="40"/>
        <w:jc w:val="center"/>
      </w:pPr>
      <w:r>
        <w:drawing>
          <wp:inline xmlns:a="http://schemas.openxmlformats.org/drawingml/2006/main" xmlns:pic="http://schemas.openxmlformats.org/drawingml/2006/picture">
            <wp:extent cx="5715000" cy="4623955"/>
            <wp:docPr id="1" name="Picture 1" descr="Detailed QWeave compiler architecture showing input normalization, optimization core, deterministic guards, validation, benchmarking, and artifacts."/>
            <wp:cNvGraphicFramePr>
              <a:graphicFrameLocks noChangeAspect="1"/>
            </wp:cNvGraphicFramePr>
            <a:graphic>
              <a:graphicData uri="http://schemas.openxmlformats.org/drawingml/2006/picture">
                <pic:pic>
                  <pic:nvPicPr>
                    <pic:cNvPr id="0" name="ideal_architecture.png"/>
                    <pic:cNvPicPr/>
                  </pic:nvPicPr>
                  <pic:blipFill>
                    <a:blip r:embed="rId11"/>
                    <a:stretch>
                      <a:fillRect/>
                    </a:stretch>
                  </pic:blipFill>
                  <pic:spPr>
                    <a:xfrm>
                      <a:off x="0" y="0"/>
                      <a:ext cx="5715000" cy="4623955"/>
                    </a:xfrm>
                    <a:prstGeom prst="rect"/>
                  </pic:spPr>
                </pic:pic>
              </a:graphicData>
            </a:graphic>
          </wp:inline>
        </w:drawing>
      </w:r>
    </w:p>
    <w:p>
      <w:pPr>
        <w:spacing w:after="140"/>
        <w:jc w:val="center"/>
      </w:pPr>
      <w:r>
        <w:rPr>
          <w:rFonts w:ascii="Times New Roman" w:hAnsi="Times New Roman" w:eastAsia="Times New Roman"/>
          <w:i/>
          <w:sz w:val="18"/>
        </w:rPr>
        <w:t>Figure 1. Ideal QWeave architecture. Learned decisions are enclosed by deterministic guards and validation.</w:t>
      </w:r>
    </w:p>
    <w:p>
      <w:pPr>
        <w:pStyle w:val="Heading1"/>
      </w:pPr>
      <w:r>
        <w:t>1 System Boundaries and Data Contracts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38"/>
        <w:gridCol w:w="2338"/>
        <w:gridCol w:w="2338"/>
        <w:gridCol w:w="2338"/>
      </w:tblGrid>
      <w:tr>
        <w:trPr>
          <w:tblHeader w:val="true"/>
        </w:trPr>
        <w:tc>
          <w:tcPr>
            <w:tcW w:type="dxa" w:w="1757"/>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6"/>
              </w:rPr>
              <w:t>Component</w:t>
            </w:r>
          </w:p>
        </w:tc>
        <w:tc>
          <w:tcPr>
            <w:tcW w:type="dxa" w:w="2324"/>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6"/>
              </w:rPr>
              <w:t>Input</w:t>
            </w:r>
          </w:p>
        </w:tc>
        <w:tc>
          <w:tcPr>
            <w:tcW w:type="dxa" w:w="2268"/>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6"/>
              </w:rPr>
              <w:t>Output</w:t>
            </w:r>
          </w:p>
        </w:tc>
        <w:tc>
          <w:tcPr>
            <w:tcW w:type="dxa" w:w="2891"/>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6"/>
              </w:rPr>
              <w:t>Non-negotiable contract</w:t>
            </w:r>
          </w:p>
        </w:tc>
      </w:tr>
      <w:tr>
        <w:tc>
          <w:tcPr>
            <w:tcW w:type="dxa" w:w="1757"/>
            <w:tcMar>
              <w:top w:w="85" w:type="dxa"/>
              <w:start w:w="95" w:type="dxa"/>
              <w:bottom w:w="85" w:type="dxa"/>
              <w:end w:w="95" w:type="dxa"/>
            </w:tcMar>
            <w:vAlign w:val="center"/>
          </w:tcPr>
          <w:p>
            <w:pPr>
              <w:spacing w:after="0"/>
              <w:jc w:val="left"/>
            </w:pPr>
            <w:r>
              <w:rPr>
                <w:rFonts w:ascii="Times New Roman" w:hAnsi="Times New Roman" w:eastAsia="Times New Roman"/>
                <w:sz w:val="16"/>
              </w:rPr>
              <w:t>Circuit normaliser</w:t>
            </w:r>
          </w:p>
        </w:tc>
        <w:tc>
          <w:tcPr>
            <w:tcW w:type="dxa" w:w="2324"/>
            <w:tcMar>
              <w:top w:w="85" w:type="dxa"/>
              <w:start w:w="95" w:type="dxa"/>
              <w:bottom w:w="85" w:type="dxa"/>
              <w:end w:w="95" w:type="dxa"/>
            </w:tcMar>
            <w:vAlign w:val="center"/>
          </w:tcPr>
          <w:p>
            <w:pPr>
              <w:spacing w:after="0"/>
              <w:jc w:val="left"/>
            </w:pPr>
            <w:r>
              <w:rPr>
                <w:rFonts w:ascii="Times New Roman" w:hAnsi="Times New Roman" w:eastAsia="Times New Roman"/>
                <w:sz w:val="16"/>
              </w:rPr>
              <w:t>QuantumCircuit or OpenQASM</w:t>
            </w:r>
          </w:p>
        </w:tc>
        <w:tc>
          <w:tcPr>
            <w:tcW w:type="dxa" w:w="2268"/>
            <w:tcMar>
              <w:top w:w="85" w:type="dxa"/>
              <w:start w:w="95" w:type="dxa"/>
              <w:bottom w:w="85" w:type="dxa"/>
              <w:end w:w="95" w:type="dxa"/>
            </w:tcMar>
            <w:vAlign w:val="center"/>
          </w:tcPr>
          <w:p>
            <w:pPr>
              <w:spacing w:after="0"/>
              <w:jc w:val="left"/>
            </w:pPr>
            <w:r>
              <w:rPr>
                <w:rFonts w:ascii="Times New Roman" w:hAnsi="Times New Roman" w:eastAsia="Times New Roman"/>
                <w:sz w:val="16"/>
              </w:rPr>
              <w:t>Canonical circuit DAG</w:t>
            </w:r>
          </w:p>
        </w:tc>
        <w:tc>
          <w:tcPr>
            <w:tcW w:type="dxa" w:w="2891"/>
            <w:tcMar>
              <w:top w:w="85" w:type="dxa"/>
              <w:start w:w="95" w:type="dxa"/>
              <w:bottom w:w="85" w:type="dxa"/>
              <w:end w:w="95" w:type="dxa"/>
            </w:tcMar>
            <w:vAlign w:val="center"/>
          </w:tcPr>
          <w:p>
            <w:pPr>
              <w:spacing w:after="0"/>
              <w:jc w:val="left"/>
            </w:pPr>
            <w:r>
              <w:rPr>
                <w:rFonts w:ascii="Times New Roman" w:hAnsi="Times New Roman" w:eastAsia="Times New Roman"/>
                <w:sz w:val="16"/>
              </w:rPr>
              <w:t>Preserve classical conditions and declared semantics</w:t>
            </w:r>
          </w:p>
        </w:tc>
      </w:tr>
      <w:tr>
        <w:tc>
          <w:tcPr>
            <w:tcW w:type="dxa" w:w="1757"/>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Target adapter</w:t>
            </w:r>
          </w:p>
        </w:tc>
        <w:tc>
          <w:tcPr>
            <w:tcW w:type="dxa" w:w="2324"/>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Qiskit Target/backend</w:t>
            </w:r>
          </w:p>
        </w:tc>
        <w:tc>
          <w:tcPr>
            <w:tcW w:type="dxa" w:w="2268"/>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Canonical hardware graph</w:t>
            </w:r>
          </w:p>
        </w:tc>
        <w:tc>
          <w:tcPr>
            <w:tcW w:type="dxa" w:w="2891"/>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Connectivity, direction, gate duration, and error share one snapshot</w:t>
            </w:r>
          </w:p>
        </w:tc>
      </w:tr>
      <w:tr>
        <w:tc>
          <w:tcPr>
            <w:tcW w:type="dxa" w:w="1757"/>
            <w:tcMar>
              <w:top w:w="85" w:type="dxa"/>
              <w:start w:w="95" w:type="dxa"/>
              <w:bottom w:w="85" w:type="dxa"/>
              <w:end w:w="95" w:type="dxa"/>
            </w:tcMar>
            <w:vAlign w:val="center"/>
          </w:tcPr>
          <w:p>
            <w:pPr>
              <w:spacing w:after="0"/>
              <w:jc w:val="left"/>
            </w:pPr>
            <w:r>
              <w:rPr>
                <w:rFonts w:ascii="Times New Roman" w:hAnsi="Times New Roman" w:eastAsia="Times New Roman"/>
                <w:sz w:val="16"/>
              </w:rPr>
              <w:t>Initial mapper</w:t>
            </w:r>
          </w:p>
        </w:tc>
        <w:tc>
          <w:tcPr>
            <w:tcW w:type="dxa" w:w="2324"/>
            <w:tcMar>
              <w:top w:w="85" w:type="dxa"/>
              <w:start w:w="95" w:type="dxa"/>
              <w:bottom w:w="85" w:type="dxa"/>
              <w:end w:w="95" w:type="dxa"/>
            </w:tcMar>
            <w:vAlign w:val="center"/>
          </w:tcPr>
          <w:p>
            <w:pPr>
              <w:spacing w:after="0"/>
              <w:jc w:val="left"/>
            </w:pPr>
            <w:r>
              <w:rPr>
                <w:rFonts w:ascii="Times New Roman" w:hAnsi="Times New Roman" w:eastAsia="Times New Roman"/>
                <w:sz w:val="16"/>
              </w:rPr>
              <w:t>Circuit DAG + hardware graph</w:t>
            </w:r>
          </w:p>
        </w:tc>
        <w:tc>
          <w:tcPr>
            <w:tcW w:type="dxa" w:w="2268"/>
            <w:tcMar>
              <w:top w:w="85" w:type="dxa"/>
              <w:start w:w="95" w:type="dxa"/>
              <w:bottom w:w="85" w:type="dxa"/>
              <w:end w:w="95" w:type="dxa"/>
            </w:tcMar>
            <w:vAlign w:val="center"/>
          </w:tcPr>
          <w:p>
            <w:pPr>
              <w:spacing w:after="0"/>
              <w:jc w:val="left"/>
            </w:pPr>
            <w:r>
              <w:rPr>
                <w:rFonts w:ascii="Times New Roman" w:hAnsi="Times New Roman" w:eastAsia="Times New Roman"/>
                <w:sz w:val="16"/>
              </w:rPr>
              <w:t>Injective mapping and trace</w:t>
            </w:r>
          </w:p>
        </w:tc>
        <w:tc>
          <w:tcPr>
            <w:tcW w:type="dxa" w:w="2891"/>
            <w:tcMar>
              <w:top w:w="85" w:type="dxa"/>
              <w:start w:w="95" w:type="dxa"/>
              <w:bottom w:w="85" w:type="dxa"/>
              <w:end w:w="95" w:type="dxa"/>
            </w:tcMar>
            <w:vAlign w:val="center"/>
          </w:tcPr>
          <w:p>
            <w:pPr>
              <w:spacing w:after="0"/>
              <w:jc w:val="left"/>
            </w:pPr>
            <w:r>
              <w:rPr>
                <w:rFonts w:ascii="Times New Roman" w:hAnsi="Times New Roman" w:eastAsia="Times New Roman"/>
                <w:sz w:val="16"/>
              </w:rPr>
              <w:t>Deterministic under seed; accepted refinements are monotone</w:t>
            </w:r>
          </w:p>
        </w:tc>
      </w:tr>
      <w:tr>
        <w:tc>
          <w:tcPr>
            <w:tcW w:type="dxa" w:w="1757"/>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Routing environment</w:t>
            </w:r>
          </w:p>
        </w:tc>
        <w:tc>
          <w:tcPr>
            <w:tcW w:type="dxa" w:w="2324"/>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Mapping + frontier + look-ahead</w:t>
            </w:r>
          </w:p>
        </w:tc>
        <w:tc>
          <w:tcPr>
            <w:tcW w:type="dxa" w:w="2268"/>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Transition and legal-action mask</w:t>
            </w:r>
          </w:p>
        </w:tc>
        <w:tc>
          <w:tcPr>
            <w:tcW w:type="dxa" w:w="2891"/>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No illegal action may be sampled or executed</w:t>
            </w:r>
          </w:p>
        </w:tc>
      </w:tr>
      <w:tr>
        <w:tc>
          <w:tcPr>
            <w:tcW w:type="dxa" w:w="1757"/>
            <w:tcMar>
              <w:top w:w="85" w:type="dxa"/>
              <w:start w:w="95" w:type="dxa"/>
              <w:bottom w:w="85" w:type="dxa"/>
              <w:end w:w="95" w:type="dxa"/>
            </w:tcMar>
            <w:vAlign w:val="center"/>
          </w:tcPr>
          <w:p>
            <w:pPr>
              <w:spacing w:after="0"/>
              <w:jc w:val="left"/>
            </w:pPr>
            <w:r>
              <w:rPr>
                <w:rFonts w:ascii="Times New Roman" w:hAnsi="Times New Roman" w:eastAsia="Times New Roman"/>
                <w:sz w:val="16"/>
              </w:rPr>
              <w:t>GNN-PPO policy</w:t>
            </w:r>
          </w:p>
        </w:tc>
        <w:tc>
          <w:tcPr>
            <w:tcW w:type="dxa" w:w="2324"/>
            <w:tcMar>
              <w:top w:w="85" w:type="dxa"/>
              <w:start w:w="95" w:type="dxa"/>
              <w:bottom w:w="85" w:type="dxa"/>
              <w:end w:w="95" w:type="dxa"/>
            </w:tcMar>
            <w:vAlign w:val="center"/>
          </w:tcPr>
          <w:p>
            <w:pPr>
              <w:spacing w:after="0"/>
              <w:jc w:val="left"/>
            </w:pPr>
            <w:r>
              <w:rPr>
                <w:rFonts w:ascii="Times New Roman" w:hAnsi="Times New Roman" w:eastAsia="Times New Roman"/>
                <w:sz w:val="16"/>
              </w:rPr>
              <w:t>Graph state and mask</w:t>
            </w:r>
          </w:p>
        </w:tc>
        <w:tc>
          <w:tcPr>
            <w:tcW w:type="dxa" w:w="2268"/>
            <w:tcMar>
              <w:top w:w="85" w:type="dxa"/>
              <w:start w:w="95" w:type="dxa"/>
              <w:bottom w:w="85" w:type="dxa"/>
              <w:end w:w="95" w:type="dxa"/>
            </w:tcMar>
            <w:vAlign w:val="center"/>
          </w:tcPr>
          <w:p>
            <w:pPr>
              <w:spacing w:after="0"/>
              <w:jc w:val="left"/>
            </w:pPr>
            <w:r>
              <w:rPr>
                <w:rFonts w:ascii="Times New Roman" w:hAnsi="Times New Roman" w:eastAsia="Times New Roman"/>
                <w:sz w:val="16"/>
              </w:rPr>
              <w:t>SWAP or EXECUTE action</w:t>
            </w:r>
          </w:p>
        </w:tc>
        <w:tc>
          <w:tcPr>
            <w:tcW w:type="dxa" w:w="2891"/>
            <w:tcMar>
              <w:top w:w="85" w:type="dxa"/>
              <w:start w:w="95" w:type="dxa"/>
              <w:bottom w:w="85" w:type="dxa"/>
              <w:end w:w="95" w:type="dxa"/>
            </w:tcMar>
            <w:vAlign w:val="center"/>
          </w:tcPr>
          <w:p>
            <w:pPr>
              <w:spacing w:after="0"/>
              <w:jc w:val="left"/>
            </w:pPr>
            <w:r>
              <w:rPr>
                <w:rFonts w:ascii="Times New Roman" w:hAnsi="Times New Roman" w:eastAsia="Times New Roman"/>
                <w:sz w:val="16"/>
              </w:rPr>
              <w:t>Policy never bypasses the deterministic guard</w:t>
            </w:r>
          </w:p>
        </w:tc>
      </w:tr>
      <w:tr>
        <w:tc>
          <w:tcPr>
            <w:tcW w:type="dxa" w:w="1757"/>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Fallback router</w:t>
            </w:r>
          </w:p>
        </w:tc>
        <w:tc>
          <w:tcPr>
            <w:tcW w:type="dxa" w:w="2324"/>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Blocked frontier state</w:t>
            </w:r>
          </w:p>
        </w:tc>
        <w:tc>
          <w:tcPr>
            <w:tcW w:type="dxa" w:w="2268"/>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Finite legal action sequence</w:t>
            </w:r>
          </w:p>
        </w:tc>
        <w:tc>
          <w:tcPr>
            <w:tcW w:type="dxa" w:w="2891"/>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Completes on a connected usable target component</w:t>
            </w:r>
          </w:p>
        </w:tc>
      </w:tr>
      <w:tr>
        <w:tc>
          <w:tcPr>
            <w:tcW w:type="dxa" w:w="1757"/>
            <w:tcMar>
              <w:top w:w="85" w:type="dxa"/>
              <w:start w:w="95" w:type="dxa"/>
              <w:bottom w:w="85" w:type="dxa"/>
              <w:end w:w="95" w:type="dxa"/>
            </w:tcMar>
            <w:vAlign w:val="center"/>
          </w:tcPr>
          <w:p>
            <w:pPr>
              <w:spacing w:after="0"/>
              <w:jc w:val="left"/>
            </w:pPr>
            <w:r>
              <w:rPr>
                <w:rFonts w:ascii="Times New Roman" w:hAnsi="Times New Roman" w:eastAsia="Times New Roman"/>
                <w:sz w:val="16"/>
              </w:rPr>
              <w:t>Scheduler</w:t>
            </w:r>
          </w:p>
        </w:tc>
        <w:tc>
          <w:tcPr>
            <w:tcW w:type="dxa" w:w="2324"/>
            <w:tcMar>
              <w:top w:w="85" w:type="dxa"/>
              <w:start w:w="95" w:type="dxa"/>
              <w:bottom w:w="85" w:type="dxa"/>
              <w:end w:w="95" w:type="dxa"/>
            </w:tcMar>
            <w:vAlign w:val="center"/>
          </w:tcPr>
          <w:p>
            <w:pPr>
              <w:spacing w:after="0"/>
              <w:jc w:val="left"/>
            </w:pPr>
            <w:r>
              <w:rPr>
                <w:rFonts w:ascii="Times New Roman" w:hAnsi="Times New Roman" w:eastAsia="Times New Roman"/>
                <w:sz w:val="16"/>
              </w:rPr>
              <w:t>Routed DAG + durations</w:t>
            </w:r>
          </w:p>
        </w:tc>
        <w:tc>
          <w:tcPr>
            <w:tcW w:type="dxa" w:w="2268"/>
            <w:tcMar>
              <w:top w:w="85" w:type="dxa"/>
              <w:start w:w="95" w:type="dxa"/>
              <w:bottom w:w="85" w:type="dxa"/>
              <w:end w:w="95" w:type="dxa"/>
            </w:tcMar>
            <w:vAlign w:val="center"/>
          </w:tcPr>
          <w:p>
            <w:pPr>
              <w:spacing w:after="0"/>
              <w:jc w:val="left"/>
            </w:pPr>
            <w:r>
              <w:rPr>
                <w:rFonts w:ascii="Times New Roman" w:hAnsi="Times New Roman" w:eastAsia="Times New Roman"/>
                <w:sz w:val="16"/>
              </w:rPr>
              <w:t>Start times and ordered circuit</w:t>
            </w:r>
          </w:p>
        </w:tc>
        <w:tc>
          <w:tcPr>
            <w:tcW w:type="dxa" w:w="2891"/>
            <w:tcMar>
              <w:top w:w="85" w:type="dxa"/>
              <w:start w:w="95" w:type="dxa"/>
              <w:bottom w:w="85" w:type="dxa"/>
              <w:end w:w="95" w:type="dxa"/>
            </w:tcMar>
            <w:vAlign w:val="center"/>
          </w:tcPr>
          <w:p>
            <w:pPr>
              <w:spacing w:after="0"/>
              <w:jc w:val="left"/>
            </w:pPr>
            <w:r>
              <w:rPr>
                <w:rFonts w:ascii="Times New Roman" w:hAnsi="Times New Roman" w:eastAsia="Times New Roman"/>
                <w:sz w:val="16"/>
              </w:rPr>
              <w:t>All precedence and resource constraints hold</w:t>
            </w:r>
          </w:p>
        </w:tc>
      </w:tr>
      <w:tr>
        <w:tc>
          <w:tcPr>
            <w:tcW w:type="dxa" w:w="1757"/>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Validator</w:t>
            </w:r>
          </w:p>
        </w:tc>
        <w:tc>
          <w:tcPr>
            <w:tcW w:type="dxa" w:w="2324"/>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Input/output/final layout</w:t>
            </w:r>
          </w:p>
        </w:tc>
        <w:tc>
          <w:tcPr>
            <w:tcW w:type="dxa" w:w="2268"/>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Pass/fail evidence</w:t>
            </w:r>
          </w:p>
        </w:tc>
        <w:tc>
          <w:tcPr>
            <w:tcW w:type="dxa" w:w="2891"/>
            <w:shd w:fill="F8FAFC"/>
            <w:tcMar>
              <w:top w:w="85" w:type="dxa"/>
              <w:start w:w="95" w:type="dxa"/>
              <w:bottom w:w="85" w:type="dxa"/>
              <w:end w:w="95" w:type="dxa"/>
            </w:tcMar>
            <w:vAlign w:val="center"/>
          </w:tcPr>
          <w:p>
            <w:pPr>
              <w:spacing w:after="0"/>
              <w:jc w:val="left"/>
            </w:pPr>
            <w:r>
              <w:rPr>
                <w:rFonts w:ascii="Times New Roman" w:hAnsi="Times New Roman" w:eastAsia="Times New Roman"/>
                <w:sz w:val="16"/>
              </w:rPr>
              <w:t>Invalid output is excluded and counted as failure</w:t>
            </w:r>
          </w:p>
        </w:tc>
      </w:tr>
    </w:tbl>
    <w:p>
      <w:pPr>
        <w:spacing w:after="0"/>
      </w:pPr>
    </w:p>
    <w:p>
      <w:pPr>
        <w:pStyle w:val="Heading1"/>
      </w:pPr>
      <w:r>
        <w:t>2 Formal Problem Model</w:t>
      </w:r>
    </w:p>
    <w:p>
      <w:r>
        <w:rPr>
          <w:rFonts w:ascii="Times New Roman" w:hAnsi="Times New Roman" w:eastAsia="Times New Roman"/>
          <w:i w:val="0"/>
        </w:rPr>
        <w:t>Let the logical circuit induce a dependency DAG and a weighted interaction graph on logical qubits. Let the hardware be a directed coupling graph with instruction properties. At routing step t, the mapping pi_t assigns each live logical qubit to a distinct physical qubit.</w:t>
      </w:r>
    </w:p>
    <w:p>
      <w:pPr>
        <w:spacing w:before="60" w:after="80"/>
        <w:jc w:val="center"/>
      </w:pPr>
      <w:r>
        <w:drawing>
          <wp:inline xmlns:a="http://schemas.openxmlformats.org/drawingml/2006/main" xmlns:pic="http://schemas.openxmlformats.org/drawingml/2006/picture">
            <wp:extent cx="4297680" cy="194319"/>
            <wp:docPr id="2" name="Picture 2" descr="Logical graph, hardware graph, and injective mapping definition."/>
            <wp:cNvGraphicFramePr>
              <a:graphicFrameLocks noChangeAspect="1"/>
            </wp:cNvGraphicFramePr>
            <a:graphic>
              <a:graphicData uri="http://schemas.openxmlformats.org/drawingml/2006/picture">
                <pic:pic>
                  <pic:nvPicPr>
                    <pic:cNvPr id="0" name="model.png"/>
                    <pic:cNvPicPr/>
                  </pic:nvPicPr>
                  <pic:blipFill>
                    <a:blip r:embed="rId12"/>
                    <a:stretch>
                      <a:fillRect/>
                    </a:stretch>
                  </pic:blipFill>
                  <pic:spPr>
                    <a:xfrm>
                      <a:off x="0" y="0"/>
                      <a:ext cx="4297680" cy="194319"/>
                    </a:xfrm>
                    <a:prstGeom prst="rect"/>
                  </pic:spPr>
                </pic:pic>
              </a:graphicData>
            </a:graphic>
          </wp:inline>
        </w:drawing>
      </w:r>
    </w:p>
    <w:p>
      <w:r>
        <w:rPr>
          <w:rFonts w:ascii="Times New Roman" w:hAnsi="Times New Roman" w:eastAsia="Times New Roman"/>
          <w:i w:val="0"/>
        </w:rPr>
        <w:t>The initial mapping minimises weighted hardware distance. Weights combine interaction frequency, temporal proximity, and reverse critical-path rank; all terms must be normalised and fixed before test evaluation.</w:t>
      </w:r>
    </w:p>
    <w:p>
      <w:pPr>
        <w:spacing w:before="60" w:after="80"/>
        <w:jc w:val="center"/>
      </w:pPr>
      <w:r>
        <w:drawing>
          <wp:inline xmlns:a="http://schemas.openxmlformats.org/drawingml/2006/main" xmlns:pic="http://schemas.openxmlformats.org/drawingml/2006/picture">
            <wp:extent cx="4754880" cy="746374"/>
            <wp:docPr id="3" name="Picture 3" descr="Weighted logical interaction distance objective for initial mapping."/>
            <wp:cNvGraphicFramePr>
              <a:graphicFrameLocks noChangeAspect="1"/>
            </wp:cNvGraphicFramePr>
            <a:graphic>
              <a:graphicData uri="http://schemas.openxmlformats.org/drawingml/2006/picture">
                <pic:pic>
                  <pic:nvPicPr>
                    <pic:cNvPr id="0" name="mapping_cost.png"/>
                    <pic:cNvPicPr/>
                  </pic:nvPicPr>
                  <pic:blipFill>
                    <a:blip r:embed="rId13"/>
                    <a:stretch>
                      <a:fillRect/>
                    </a:stretch>
                  </pic:blipFill>
                  <pic:spPr>
                    <a:xfrm>
                      <a:off x="0" y="0"/>
                      <a:ext cx="4754880" cy="746374"/>
                    </a:xfrm>
                    <a:prstGeom prst="rect"/>
                  </pic:spPr>
                </pic:pic>
              </a:graphicData>
            </a:graphic>
          </wp:inline>
        </w:drawing>
      </w:r>
    </w:p>
    <w:p>
      <w:r>
        <w:rPr>
          <w:rFonts w:ascii="Times New Roman" w:hAnsi="Times New Roman" w:eastAsia="Times New Roman"/>
          <w:i w:val="0"/>
        </w:rPr>
        <w:t>The end-to-end training objective is multi-objective, but reporting must keep every metric separate. Depth receives the dominant coefficient; SWAP count, compiler time, and calibration penalty break ties or regularise pathological solutions.</w:t>
      </w:r>
    </w:p>
    <w:p>
      <w:pPr>
        <w:spacing w:before="60" w:after="80"/>
        <w:jc w:val="center"/>
      </w:pPr>
      <w:r>
        <w:drawing>
          <wp:inline xmlns:a="http://schemas.openxmlformats.org/drawingml/2006/main" xmlns:pic="http://schemas.openxmlformats.org/drawingml/2006/picture">
            <wp:extent cx="4937760" cy="219456"/>
            <wp:docPr id="4" name="Picture 4" descr="Weighted depth, swap, runtime, and calibration cost."/>
            <wp:cNvGraphicFramePr>
              <a:graphicFrameLocks noChangeAspect="1"/>
            </wp:cNvGraphicFramePr>
            <a:graphic>
              <a:graphicData uri="http://schemas.openxmlformats.org/drawingml/2006/picture">
                <pic:pic>
                  <pic:nvPicPr>
                    <pic:cNvPr id="0" name="multi_objective.png"/>
                    <pic:cNvPicPr/>
                  </pic:nvPicPr>
                  <pic:blipFill>
                    <a:blip r:embed="rId14"/>
                    <a:stretch>
                      <a:fillRect/>
                    </a:stretch>
                  </pic:blipFill>
                  <pic:spPr>
                    <a:xfrm>
                      <a:off x="0" y="0"/>
                      <a:ext cx="4937760" cy="219456"/>
                    </a:xfrm>
                    <a:prstGeom prst="rect"/>
                  </pic:spPr>
                </pic:pic>
              </a:graphicData>
            </a:graphic>
          </wp:inline>
        </w:drawing>
      </w:r>
    </w:p>
    <w:p>
      <w:pPr>
        <w:pStyle w:val="Heading1"/>
      </w:pPr>
      <w:r>
        <w:t>3 Heuristic Initial Mapping</w:t>
      </w:r>
    </w:p>
    <w:p>
      <w:pPr>
        <w:pStyle w:val="Heading2"/>
      </w:pPr>
      <w:r>
        <w:t>3.1 Construction</w:t>
      </w:r>
    </w:p>
    <w:p>
      <w:pPr>
        <w:pStyle w:val="ListNumber"/>
        <w:spacing w:after="80"/>
      </w:pPr>
      <w:r>
        <w:t>Build logical weights w_ij from two-qubit gate count, a decay by gate distance, and criticality.</w:t>
      </w:r>
    </w:p>
    <w:p>
      <w:pPr>
        <w:pStyle w:val="ListNumber"/>
        <w:spacing w:after="80"/>
      </w:pPr>
      <w:r>
        <w:t>Rank logical qubits by weighted degree and critical-frontier participation.</w:t>
      </w:r>
    </w:p>
    <w:p>
      <w:pPr>
        <w:pStyle w:val="ListNumber"/>
        <w:spacing w:after="80"/>
      </w:pPr>
      <w:r>
        <w:t>Rank physical qubits by centrality, usable degree, duration, and optional reliability.</w:t>
      </w:r>
    </w:p>
    <w:p>
      <w:pPr>
        <w:pStyle w:val="ListNumber"/>
        <w:spacing w:after="80"/>
      </w:pPr>
      <w:r>
        <w:t>Greedily place the highest-pressure logical pair on a short, reliable hardware edge; add remaining qubits by marginal cost.</w:t>
      </w:r>
    </w:p>
    <w:p>
      <w:pPr>
        <w:pStyle w:val="ListNumber"/>
        <w:spacing w:after="80"/>
      </w:pPr>
      <w:r>
        <w:t>Run bounded pair-swap local search. Accept only strict improvements in the declared mapping cost.</w:t>
      </w:r>
    </w:p>
    <w:p>
      <w:pPr>
        <w:pStyle w:val="Heading2"/>
      </w:pPr>
      <w:r>
        <w:t>3.2 Proposition 1 Monotone local-search termination</w:t>
      </w:r>
    </w:p>
    <w:p>
      <w:r>
        <w:rPr>
          <w:rFonts w:ascii="Times New Roman" w:hAnsi="Times New Roman" w:eastAsia="Times New Roman"/>
          <w:i w:val="0"/>
        </w:rPr>
        <w:t>Statement. If each accepted pair swap produces a strict reduction in C_map and the number of logical and physical qubits is finite, the refinement process terminates after finitely many accepted moves at a pair-swap local optimum.</w:t>
      </w:r>
    </w:p>
    <w:p>
      <w:pPr>
        <w:spacing w:before="60" w:after="80"/>
        <w:jc w:val="center"/>
      </w:pPr>
      <w:r>
        <w:drawing>
          <wp:inline xmlns:a="http://schemas.openxmlformats.org/drawingml/2006/main" xmlns:pic="http://schemas.openxmlformats.org/drawingml/2006/picture">
            <wp:extent cx="4206240" cy="209203"/>
            <wp:docPr id="5" name="Picture 5" descr="Strict decrease condition for each accepted local-search move."/>
            <wp:cNvGraphicFramePr>
              <a:graphicFrameLocks noChangeAspect="1"/>
            </wp:cNvGraphicFramePr>
            <a:graphic>
              <a:graphicData uri="http://schemas.openxmlformats.org/drawingml/2006/picture">
                <pic:pic>
                  <pic:nvPicPr>
                    <pic:cNvPr id="0" name="improvement.png"/>
                    <pic:cNvPicPr/>
                  </pic:nvPicPr>
                  <pic:blipFill>
                    <a:blip r:embed="rId15"/>
                    <a:stretch>
                      <a:fillRect/>
                    </a:stretch>
                  </pic:blipFill>
                  <pic:spPr>
                    <a:xfrm>
                      <a:off x="0" y="0"/>
                      <a:ext cx="4206240" cy="209203"/>
                    </a:xfrm>
                    <a:prstGeom prst="rect"/>
                  </pic:spPr>
                </pic:pic>
              </a:graphicData>
            </a:graphic>
          </wp:inline>
        </w:drawing>
      </w:r>
    </w:p>
    <w:p>
      <w:r>
        <w:rPr>
          <w:rFonts w:ascii="Times New Roman" w:hAnsi="Times New Roman" w:eastAsia="Times New Roman"/>
          <w:i w:val="0"/>
        </w:rPr>
        <w:t>Proof sketch. There are finitely many injective logical-to-physical mappings. The objective sequence is strictly decreasing, so the algorithm cannot revisit a mapping. Therefore only finitely many moves can be accepted. When no candidate pair swap has negative delta C, the current mapping is locally optimal with respect to the chosen neighbourhood. This proves termination and local—not global—optimality.</w:t>
      </w:r>
    </w:p>
    <w:p>
      <w:pPr>
        <w:pStyle w:val="Heading1"/>
      </w:pPr>
      <w:r>
        <w:t>4 Routing MDP and GNN-PPO Policy</w:t>
      </w:r>
    </w:p>
    <w:p>
      <w:pPr>
        <w:pStyle w:val="Heading2"/>
      </w:pPr>
      <w:r>
        <w:t>4.1 State</w:t>
      </w:r>
    </w:p>
    <w:p>
      <w:pPr>
        <w:pStyle w:val="ListBullet"/>
        <w:spacing w:after="60"/>
        <w:ind w:left="369" w:hanging="142"/>
      </w:pPr>
      <w:r>
        <w:t>Physical-node features: resident logical-qubit embedding, next-use distance, criticality, remaining degree, availability time, and optional calibration values.</w:t>
      </w:r>
    </w:p>
    <w:p>
      <w:pPr>
        <w:pStyle w:val="ListBullet"/>
        <w:spacing w:after="60"/>
        <w:ind w:left="369" w:hanging="142"/>
      </w:pPr>
      <w:r>
        <w:t>Physical-edge features: supported two-qubit instructions, direction, duration, error, occupancy, and distance change for look-ahead interactions.</w:t>
      </w:r>
    </w:p>
    <w:p>
      <w:pPr>
        <w:pStyle w:val="ListBullet"/>
        <w:spacing w:after="60"/>
        <w:ind w:left="369" w:hanging="142"/>
      </w:pPr>
      <w:r>
        <w:t>Circuit context: embeddings of executable frontier gates and a bounded look-ahead window; global progress and current lower-bound gap.</w:t>
      </w:r>
    </w:p>
    <w:p>
      <w:pPr>
        <w:pStyle w:val="Heading2"/>
      </w:pPr>
      <w:r>
        <w:t>4.2 Actions and legality</w:t>
      </w:r>
    </w:p>
    <w:p>
      <w:r>
        <w:rPr>
          <w:rFonts w:ascii="Times New Roman" w:hAnsi="Times New Roman" w:eastAsia="Times New Roman"/>
          <w:i w:val="0"/>
        </w:rPr>
        <w:t>Actions are legal coupling-edge SWAPs and an EXECUTE action when at least one frontier gate is directly supported. The masked softmax assigns exactly zero probability to every action for which m(s,a)=0.</w:t>
      </w:r>
    </w:p>
    <w:p>
      <w:pPr>
        <w:spacing w:before="60" w:after="80"/>
        <w:jc w:val="center"/>
      </w:pPr>
      <w:r>
        <w:drawing>
          <wp:inline xmlns:a="http://schemas.openxmlformats.org/drawingml/2006/main" xmlns:pic="http://schemas.openxmlformats.org/drawingml/2006/picture">
            <wp:extent cx="5120640" cy="753035"/>
            <wp:docPr id="6" name="Picture 6" descr="Masked policy normalisation over legal actions only."/>
            <wp:cNvGraphicFramePr>
              <a:graphicFrameLocks noChangeAspect="1"/>
            </wp:cNvGraphicFramePr>
            <a:graphic>
              <a:graphicData uri="http://schemas.openxmlformats.org/drawingml/2006/picture">
                <pic:pic>
                  <pic:nvPicPr>
                    <pic:cNvPr id="0" name="mask.png"/>
                    <pic:cNvPicPr/>
                  </pic:nvPicPr>
                  <pic:blipFill>
                    <a:blip r:embed="rId16"/>
                    <a:stretch>
                      <a:fillRect/>
                    </a:stretch>
                  </pic:blipFill>
                  <pic:spPr>
                    <a:xfrm>
                      <a:off x="0" y="0"/>
                      <a:ext cx="5120640" cy="753035"/>
                    </a:xfrm>
                    <a:prstGeom prst="rect"/>
                  </pic:spPr>
                </pic:pic>
              </a:graphicData>
            </a:graphic>
          </wp:inline>
        </w:drawing>
      </w:r>
    </w:p>
    <w:p>
      <w:pPr>
        <w:pStyle w:val="Heading2"/>
      </w:pPr>
      <w:r>
        <w:t>4.3 Reward and policy optimisation</w:t>
      </w:r>
    </w:p>
    <w:p>
      <w:r>
        <w:rPr>
          <w:rFonts w:ascii="Times New Roman" w:hAnsi="Times New Roman" w:eastAsia="Times New Roman"/>
          <w:i w:val="0"/>
        </w:rPr>
        <w:t>Use incremental realised-depth and routing penalties, plus potential-based shaping. If the shaping term has the standard gamma Phi(s') minus Phi(s) form, the optimal policy of the underlying discounted MDP is preserved under the standard assumptions [R5]. This gives a principled way to add dense progress feedback.</w:t>
      </w:r>
    </w:p>
    <w:p>
      <w:pPr>
        <w:spacing w:before="60" w:after="80"/>
        <w:jc w:val="center"/>
      </w:pPr>
      <w:r>
        <w:drawing>
          <wp:inline xmlns:a="http://schemas.openxmlformats.org/drawingml/2006/main" xmlns:pic="http://schemas.openxmlformats.org/drawingml/2006/picture">
            <wp:extent cx="5303520" cy="241069"/>
            <wp:docPr id="7" name="Picture 7" descr="Depth-aligned routing reward with potential-based shaping."/>
            <wp:cNvGraphicFramePr>
              <a:graphicFrameLocks noChangeAspect="1"/>
            </wp:cNvGraphicFramePr>
            <a:graphic>
              <a:graphicData uri="http://schemas.openxmlformats.org/drawingml/2006/picture">
                <pic:pic>
                  <pic:nvPicPr>
                    <pic:cNvPr id="0" name="reward.png"/>
                    <pic:cNvPicPr/>
                  </pic:nvPicPr>
                  <pic:blipFill>
                    <a:blip r:embed="rId17"/>
                    <a:stretch>
                      <a:fillRect/>
                    </a:stretch>
                  </pic:blipFill>
                  <pic:spPr>
                    <a:xfrm>
                      <a:off x="0" y="0"/>
                      <a:ext cx="5303520" cy="241069"/>
                    </a:xfrm>
                    <a:prstGeom prst="rect"/>
                  </pic:spPr>
                </pic:pic>
              </a:graphicData>
            </a:graphic>
          </wp:inline>
        </w:drawing>
      </w:r>
    </w:p>
    <w:p>
      <w:r>
        <w:rPr>
          <w:rFonts w:ascii="Times New Roman" w:hAnsi="Times New Roman" w:eastAsia="Times New Roman"/>
          <w:i w:val="0"/>
        </w:rPr>
        <w:t>Train the actor and critic with the clipped PPO surrogate [R3]. Do not claim that PPO converges to a global optimum; treat training stability and performance as empirical questions.</w:t>
      </w:r>
    </w:p>
    <w:p>
      <w:pPr>
        <w:spacing w:before="60" w:after="80"/>
        <w:jc w:val="center"/>
      </w:pPr>
      <w:r>
        <w:drawing>
          <wp:inline xmlns:a="http://schemas.openxmlformats.org/drawingml/2006/main" xmlns:pic="http://schemas.openxmlformats.org/drawingml/2006/picture">
            <wp:extent cx="5577840" cy="427856"/>
            <wp:docPr id="8" name="Picture 8" descr="Clipped PPO surrogate objective."/>
            <wp:cNvGraphicFramePr>
              <a:graphicFrameLocks noChangeAspect="1"/>
            </wp:cNvGraphicFramePr>
            <a:graphic>
              <a:graphicData uri="http://schemas.openxmlformats.org/drawingml/2006/picture">
                <pic:pic>
                  <pic:nvPicPr>
                    <pic:cNvPr id="0" name="ppo.png"/>
                    <pic:cNvPicPr/>
                  </pic:nvPicPr>
                  <pic:blipFill>
                    <a:blip r:embed="rId18"/>
                    <a:stretch>
                      <a:fillRect/>
                    </a:stretch>
                  </pic:blipFill>
                  <pic:spPr>
                    <a:xfrm>
                      <a:off x="0" y="0"/>
                      <a:ext cx="5577840" cy="427856"/>
                    </a:xfrm>
                    <a:prstGeom prst="rect"/>
                  </pic:spPr>
                </pic:pic>
              </a:graphicData>
            </a:graphic>
          </wp:inline>
        </w:drawing>
      </w:r>
    </w:p>
    <w:p>
      <w:pPr>
        <w:pStyle w:val="Heading1"/>
      </w:pPr>
      <w:r>
        <w:t>5 Depth-Aware Scheduler</w:t>
      </w:r>
    </w:p>
    <w:p>
      <w:r>
        <w:rPr>
          <w:rFonts w:ascii="Times New Roman" w:hAnsi="Times New Roman" w:eastAsia="Times New Roman"/>
          <w:i w:val="0"/>
        </w:rPr>
        <w:t>The scheduler operates on the complete routed DAG, including inserted routing and direction-correction gates. Compute reverse critical-path rank, maintain resource availability for every physical qubit, and assign the earliest feasible start time to the highest-priority ready operation.</w:t>
      </w:r>
    </w:p>
    <w:p>
      <w:pPr>
        <w:spacing w:before="60" w:after="80"/>
        <w:jc w:val="center"/>
      </w:pPr>
      <w:r>
        <w:drawing>
          <wp:inline xmlns:a="http://schemas.openxmlformats.org/drawingml/2006/main" xmlns:pic="http://schemas.openxmlformats.org/drawingml/2006/picture">
            <wp:extent cx="5303520" cy="666909"/>
            <wp:docPr id="9" name="Picture 9" descr="Earliest feasible start time from predecessor completion and qubit availability."/>
            <wp:cNvGraphicFramePr>
              <a:graphicFrameLocks noChangeAspect="1"/>
            </wp:cNvGraphicFramePr>
            <a:graphic>
              <a:graphicData uri="http://schemas.openxmlformats.org/drawingml/2006/picture">
                <pic:pic>
                  <pic:nvPicPr>
                    <pic:cNvPr id="0" name="scheduler.png"/>
                    <pic:cNvPicPr/>
                  </pic:nvPicPr>
                  <pic:blipFill>
                    <a:blip r:embed="rId19"/>
                    <a:stretch>
                      <a:fillRect/>
                    </a:stretch>
                  </pic:blipFill>
                  <pic:spPr>
                    <a:xfrm>
                      <a:off x="0" y="0"/>
                      <a:ext cx="5303520" cy="666909"/>
                    </a:xfrm>
                    <a:prstGeom prst="rect"/>
                  </pic:spPr>
                </pic:pic>
              </a:graphicData>
            </a:graphic>
          </wp:inline>
        </w:drawing>
      </w:r>
    </w:p>
    <w:p>
      <w:r>
        <w:rPr>
          <w:rFonts w:ascii="Times New Roman" w:hAnsi="Times New Roman" w:eastAsia="Times New Roman"/>
          <w:i w:val="0"/>
        </w:rPr>
        <w:t>Two simple lower bounds help interpret results: the routed DAG critical-path duration and the largest accumulated load on any physical qubit. Report the ratio between realised makespan and this lower bound rather than calling the schedule optimal.</w:t>
      </w:r>
    </w:p>
    <w:p>
      <w:pPr>
        <w:spacing w:before="60" w:after="80"/>
        <w:jc w:val="center"/>
      </w:pPr>
      <w:r>
        <w:drawing>
          <wp:inline xmlns:a="http://schemas.openxmlformats.org/drawingml/2006/main" xmlns:pic="http://schemas.openxmlformats.org/drawingml/2006/picture">
            <wp:extent cx="5212080" cy="999848"/>
            <wp:docPr id="10" name="Picture 10" descr="Lower bound on achievable scheduled depth or makespan."/>
            <wp:cNvGraphicFramePr>
              <a:graphicFrameLocks noChangeAspect="1"/>
            </wp:cNvGraphicFramePr>
            <a:graphic>
              <a:graphicData uri="http://schemas.openxmlformats.org/drawingml/2006/picture">
                <pic:pic>
                  <pic:nvPicPr>
                    <pic:cNvPr id="0" name="lower_bound.png"/>
                    <pic:cNvPicPr/>
                  </pic:nvPicPr>
                  <pic:blipFill>
                    <a:blip r:embed="rId20"/>
                    <a:stretch>
                      <a:fillRect/>
                    </a:stretch>
                  </pic:blipFill>
                  <pic:spPr>
                    <a:xfrm>
                      <a:off x="0" y="0"/>
                      <a:ext cx="5212080" cy="999848"/>
                    </a:xfrm>
                    <a:prstGeom prst="rect"/>
                  </pic:spPr>
                </pic:pic>
              </a:graphicData>
            </a:graphic>
          </wp:inline>
        </w:drawing>
      </w:r>
    </w:p>
    <w:p>
      <w:pPr>
        <w:pStyle w:val="Heading1"/>
      </w:pPr>
      <w:r>
        <w:t>6 Formal Safety and Correctness Results</w:t>
      </w:r>
    </w:p>
    <w:p>
      <w:pPr>
        <w:pStyle w:val="Heading2"/>
      </w:pPr>
      <w:r>
        <w:t>Lemma 1 Mapping preservation under SWAP</w:t>
      </w:r>
    </w:p>
    <w:p>
      <w:r>
        <w:rPr>
          <w:rFonts w:ascii="Times New Roman" w:hAnsi="Times New Roman" w:eastAsia="Times New Roman"/>
          <w:i w:val="0"/>
        </w:rPr>
        <w:t>Statement. If pi_t is injective and a SWAP exchanges the logical occupants of two distinct physical vertices, pi_{t+1} is injective.</w:t>
      </w:r>
    </w:p>
    <w:p>
      <w:r>
        <w:rPr>
          <w:rFonts w:ascii="Times New Roman" w:hAnsi="Times New Roman" w:eastAsia="Times New Roman"/>
          <w:i w:val="0"/>
        </w:rPr>
        <w:t>Proof sketch. The update is composition with a transposition, which is a bijection on physical positions. Composition of an injection with a bijection remains injective.</w:t>
      </w:r>
    </w:p>
    <w:p>
      <w:pPr>
        <w:pStyle w:val="Heading2"/>
      </w:pPr>
      <w:r>
        <w:t>Lemma 2 Illegal-action exclusion</w:t>
      </w:r>
    </w:p>
    <w:p>
      <w:r>
        <w:rPr>
          <w:rFonts w:ascii="Times New Roman" w:hAnsi="Times New Roman" w:eastAsia="Times New Roman"/>
          <w:i w:val="0"/>
        </w:rPr>
        <w:t>Statement. If at least one legal action exists and masked logits are normalised only over actions with m(s,a)=1, every illegal action has probability zero.</w:t>
      </w:r>
    </w:p>
    <w:p>
      <w:r>
        <w:rPr>
          <w:rFonts w:ascii="Times New Roman" w:hAnsi="Times New Roman" w:eastAsia="Times New Roman"/>
          <w:i w:val="0"/>
        </w:rPr>
        <w:t>Proof sketch. The numerator contains the factor m(s,a). It is zero for illegal actions, while the denominator is positive because at least one legal action exists.</w:t>
      </w:r>
    </w:p>
    <w:p>
      <w:pPr>
        <w:pStyle w:val="Heading2"/>
      </w:pPr>
      <w:r>
        <w:t>Theorem 1 Hardware legality</w:t>
      </w:r>
    </w:p>
    <w:p>
      <w:r>
        <w:rPr>
          <w:rFonts w:ascii="Times New Roman" w:hAnsi="Times New Roman" w:eastAsia="Times New Roman"/>
          <w:i w:val="0"/>
        </w:rPr>
        <w:t>Statement. Every two-qubit instruction emitted by QWeave is supported by the target on its scheduled physical pair.</w:t>
      </w:r>
    </w:p>
    <w:p>
      <w:r>
        <w:rPr>
          <w:rFonts w:ascii="Times New Roman" w:hAnsi="Times New Roman" w:eastAsia="Times New Roman"/>
          <w:i w:val="0"/>
        </w:rPr>
        <w:t>Proof sketch. EXECUTE is enabled only when the target guard validates the mapped pair and direction. SWAPs are decomposed using supported instructions. The scheduler does not change operands; therefore all emitted two-qubit operations remain legal.</w:t>
      </w:r>
    </w:p>
    <w:p>
      <w:pPr>
        <w:pStyle w:val="Heading2"/>
      </w:pPr>
      <w:r>
        <w:t>Theorem 2 Semantic equivalence up to final permutation</w:t>
      </w:r>
    </w:p>
    <w:p>
      <w:r>
        <w:rPr>
          <w:rFonts w:ascii="Times New Roman" w:hAnsi="Times New Roman" w:eastAsia="Times New Roman"/>
          <w:i w:val="0"/>
        </w:rPr>
        <w:t>Statement. The routed output implements the logical circuit up to the declared initial and final wire permutations.</w:t>
      </w:r>
    </w:p>
    <w:p>
      <w:r>
        <w:rPr>
          <w:rFonts w:ascii="Times New Roman" w:hAnsi="Times New Roman" w:eastAsia="Times New Roman"/>
          <w:i w:val="0"/>
        </w:rPr>
        <w:t>Proof sketch. Induct over emitted operations. Logical gates are executed on the current images of their operands. Each inserted SWAP updates both the quantum state and the classical mapping by the same transposition, preserving the interpretation of every logical wire. Composition yields the stated permutation relation.</w:t>
      </w:r>
    </w:p>
    <w:p>
      <w:pPr>
        <w:pStyle w:val="Heading2"/>
      </w:pPr>
      <w:r>
        <w:t>Theorem 3 Scheduler feasibility</w:t>
      </w:r>
    </w:p>
    <w:p>
      <w:r>
        <w:rPr>
          <w:rFonts w:ascii="Times New Roman" w:hAnsi="Times New Roman" w:eastAsia="Times New Roman"/>
          <w:i w:val="0"/>
        </w:rPr>
        <w:t>Statement. The depth-aware list scheduler preserves every routed-DAG precedence relation and never overlaps two operations using the same physical qubit.</w:t>
      </w:r>
    </w:p>
    <w:p>
      <w:r>
        <w:rPr>
          <w:rFonts w:ascii="Times New Roman" w:hAnsi="Times New Roman" w:eastAsia="Times New Roman"/>
          <w:i w:val="0"/>
        </w:rPr>
        <w:t>Proof sketch. An operation is selected only from the ready set. Its start time is at least every predecessor completion time and every operand availability time. Updating all operand availability values prevents later conflicts.</w:t>
      </w:r>
    </w:p>
    <w:p>
      <w:pPr>
        <w:pStyle w:val="Heading2"/>
      </w:pPr>
      <w:r>
        <w:t>Theorem 4 Termination with deterministic fallback</w:t>
      </w:r>
    </w:p>
    <w:p>
      <w:r>
        <w:rPr>
          <w:rFonts w:ascii="Times New Roman" w:hAnsi="Times New Roman" w:eastAsia="Times New Roman"/>
          <w:i w:val="0"/>
        </w:rPr>
        <w:t>Statement. For a finite circuit on a connected usable coupling graph with enough physical qubits, QWeave terminates when the watchdog invokes a shortest-path fallback after bounded non-progress.</w:t>
      </w:r>
    </w:p>
    <w:p>
      <w:r>
        <w:rPr>
          <w:rFonts w:ascii="Times New Roman" w:hAnsi="Times New Roman" w:eastAsia="Times New Roman"/>
          <w:i w:val="0"/>
        </w:rPr>
        <w:t>Proof sketch. For the chosen frontier gate, the fallback swaps an operand along a finite shortest path, decreasing its distance to the partner until the gate is adjacent and executes. Thus a frontier gate retires after finitely many fallback steps. The circuit has finitely many gates, so repeated progress terminates.</w:t>
      </w:r>
    </w:p>
    <w:p>
      <w:pPr>
        <w:spacing w:before="60" w:after="80"/>
        <w:jc w:val="center"/>
      </w:pPr>
      <w:r>
        <w:drawing>
          <wp:inline xmlns:a="http://schemas.openxmlformats.org/drawingml/2006/main" xmlns:pic="http://schemas.openxmlformats.org/drawingml/2006/picture">
            <wp:extent cx="3749039" cy="618149"/>
            <wp:docPr id="11" name="Picture 11" descr="End-to-end unitary equivalence up to initial and final permutations."/>
            <wp:cNvGraphicFramePr>
              <a:graphicFrameLocks noChangeAspect="1"/>
            </wp:cNvGraphicFramePr>
            <a:graphic>
              <a:graphicData uri="http://schemas.openxmlformats.org/drawingml/2006/picture">
                <pic:pic>
                  <pic:nvPicPr>
                    <pic:cNvPr id="0" name="semantics.png"/>
                    <pic:cNvPicPr/>
                  </pic:nvPicPr>
                  <pic:blipFill>
                    <a:blip r:embed="rId21"/>
                    <a:stretch>
                      <a:fillRect/>
                    </a:stretch>
                  </pic:blipFill>
                  <pic:spPr>
                    <a:xfrm>
                      <a:off x="0" y="0"/>
                      <a:ext cx="3749039" cy="618149"/>
                    </a:xfrm>
                    <a:prstGeom prst="rect"/>
                  </pic:spPr>
                </pic:pic>
              </a:graphicData>
            </a:graphic>
          </wp:inline>
        </w:drawing>
      </w:r>
    </w:p>
    <w:p>
      <w:pPr>
        <w:pStyle w:val="Heading2"/>
      </w:pPr>
      <w:r>
        <w:t>6.1 What the proofs do not establish</w:t>
      </w:r>
    </w:p>
    <w:p>
      <w:pPr>
        <w:pStyle w:val="ListBullet"/>
        <w:spacing w:after="60"/>
        <w:ind w:left="369" w:hanging="142"/>
      </w:pPr>
      <w:r>
        <w:t>They do not establish globally minimal SWAP count, depth, or duration.</w:t>
      </w:r>
    </w:p>
    <w:p>
      <w:pPr>
        <w:pStyle w:val="ListBullet"/>
        <w:spacing w:after="60"/>
        <w:ind w:left="369" w:hanging="142"/>
      </w:pPr>
      <w:r>
        <w:t>They do not establish that PPO converges, generalises to every topology, or beats SABRE.</w:t>
      </w:r>
    </w:p>
    <w:p>
      <w:pPr>
        <w:pStyle w:val="ListBullet"/>
        <w:spacing w:after="60"/>
        <w:ind w:left="369" w:hanging="142"/>
      </w:pPr>
      <w:r>
        <w:t>They do not cover disconnected targets unless the selected component can host the circuit and all routing remains within it.</w:t>
      </w:r>
    </w:p>
    <w:p>
      <w:pPr>
        <w:pStyle w:val="ListBullet"/>
        <w:spacing w:after="60"/>
        <w:ind w:left="369" w:hanging="142"/>
      </w:pPr>
      <w:r>
        <w:t>They do not establish physical fidelity from an approximate calibration model; that remains an empirical estimate.</w:t>
      </w:r>
    </w:p>
    <w:p>
      <w:pPr>
        <w:pStyle w:val="ListBullet"/>
        <w:spacing w:after="60"/>
        <w:ind w:left="369" w:hanging="142"/>
      </w:pPr>
      <w:r>
        <w:t>They do not replace executable equivalence and legality tests. The proof assumptions must be enforced by code.</w:t>
      </w:r>
    </w:p>
    <w:p>
      <w:pPr>
        <w:pStyle w:val="Heading1"/>
      </w:pPr>
      <w:r>
        <w:t>7 Recommended Technology Stack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38"/>
        <w:gridCol w:w="2338"/>
        <w:gridCol w:w="2338"/>
        <w:gridCol w:w="2338"/>
      </w:tblGrid>
      <w:tr>
        <w:trPr>
          <w:tblHeader w:val="true"/>
        </w:trPr>
        <w:tc>
          <w:tcPr>
            <w:tcW w:type="dxa" w:w="1247"/>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5"/>
              </w:rPr>
              <w:t>Layer</w:t>
            </w:r>
          </w:p>
        </w:tc>
        <w:tc>
          <w:tcPr>
            <w:tcW w:type="dxa" w:w="2494"/>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5"/>
              </w:rPr>
              <w:t>Recommended choice</w:t>
            </w:r>
          </w:p>
        </w:tc>
        <w:tc>
          <w:tcPr>
            <w:tcW w:type="dxa" w:w="3175"/>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5"/>
              </w:rPr>
              <w:t>Why</w:t>
            </w:r>
          </w:p>
        </w:tc>
        <w:tc>
          <w:tcPr>
            <w:tcW w:type="dxa" w:w="2324"/>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5"/>
              </w:rPr>
              <w:t>Avoid or defer</w:t>
            </w:r>
          </w:p>
        </w:tc>
      </w:tr>
      <w:tr>
        <w:tc>
          <w:tcPr>
            <w:tcW w:type="dxa" w:w="1247"/>
            <w:tcMar>
              <w:top w:w="85" w:type="dxa"/>
              <w:start w:w="95" w:type="dxa"/>
              <w:bottom w:w="85" w:type="dxa"/>
              <w:end w:w="95" w:type="dxa"/>
            </w:tcMar>
            <w:vAlign w:val="center"/>
          </w:tcPr>
          <w:p>
            <w:pPr>
              <w:spacing w:after="0"/>
              <w:jc w:val="left"/>
            </w:pPr>
            <w:r>
              <w:rPr>
                <w:rFonts w:ascii="Times New Roman" w:hAnsi="Times New Roman" w:eastAsia="Times New Roman"/>
                <w:sz w:val="15"/>
              </w:rPr>
              <w:t>Language</w:t>
            </w:r>
          </w:p>
        </w:tc>
        <w:tc>
          <w:tcPr>
            <w:tcW w:type="dxa" w:w="2494"/>
            <w:tcMar>
              <w:top w:w="85" w:type="dxa"/>
              <w:start w:w="95" w:type="dxa"/>
              <w:bottom w:w="85" w:type="dxa"/>
              <w:end w:w="95" w:type="dxa"/>
            </w:tcMar>
            <w:vAlign w:val="center"/>
          </w:tcPr>
          <w:p>
            <w:pPr>
              <w:spacing w:after="0"/>
              <w:jc w:val="left"/>
            </w:pPr>
            <w:r>
              <w:rPr>
                <w:rFonts w:ascii="Times New Roman" w:hAnsi="Times New Roman" w:eastAsia="Times New Roman"/>
                <w:sz w:val="15"/>
              </w:rPr>
              <w:t>Python 3.11</w:t>
            </w:r>
          </w:p>
        </w:tc>
        <w:tc>
          <w:tcPr>
            <w:tcW w:type="dxa" w:w="3175"/>
            <w:tcMar>
              <w:top w:w="85" w:type="dxa"/>
              <w:start w:w="95" w:type="dxa"/>
              <w:bottom w:w="85" w:type="dxa"/>
              <w:end w:w="95" w:type="dxa"/>
            </w:tcMar>
            <w:vAlign w:val="center"/>
          </w:tcPr>
          <w:p>
            <w:pPr>
              <w:spacing w:after="0"/>
              <w:jc w:val="left"/>
            </w:pPr>
            <w:r>
              <w:rPr>
                <w:rFonts w:ascii="Times New Roman" w:hAnsi="Times New Roman" w:eastAsia="Times New Roman"/>
                <w:sz w:val="15"/>
              </w:rPr>
              <w:t>Best compatibility across Qiskit, PyTorch, PyG, Gymnasium, and scientific tooling</w:t>
            </w:r>
          </w:p>
        </w:tc>
        <w:tc>
          <w:tcPr>
            <w:tcW w:type="dxa" w:w="2324"/>
            <w:tcMar>
              <w:top w:w="85" w:type="dxa"/>
              <w:start w:w="95" w:type="dxa"/>
              <w:bottom w:w="85" w:type="dxa"/>
              <w:end w:w="95" w:type="dxa"/>
            </w:tcMar>
            <w:vAlign w:val="center"/>
          </w:tcPr>
          <w:p>
            <w:pPr>
              <w:spacing w:after="0"/>
              <w:jc w:val="left"/>
            </w:pPr>
            <w:r>
              <w:rPr>
                <w:rFonts w:ascii="Times New Roman" w:hAnsi="Times New Roman" w:eastAsia="Times New Roman"/>
                <w:sz w:val="15"/>
              </w:rPr>
              <w:t>A second implementation language during the 21-day build</w:t>
            </w:r>
          </w:p>
        </w:tc>
      </w:tr>
      <w:tr>
        <w:tc>
          <w:tcPr>
            <w:tcW w:type="dxa" w:w="1247"/>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Compiler framework</w:t>
            </w:r>
          </w:p>
        </w:tc>
        <w:tc>
          <w:tcPr>
            <w:tcW w:type="dxa" w:w="249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Qiskit 2.5.x StagedPassManager, Target, DAGCircuit</w:t>
            </w:r>
          </w:p>
        </w:tc>
        <w:tc>
          <w:tcPr>
            <w:tcW w:type="dxa" w:w="3175"/>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Native layout/routing/scheduling concepts and strong SABRE baseline [R8]</w:t>
            </w:r>
          </w:p>
        </w:tc>
        <w:tc>
          <w:tcPr>
            <w:tcW w:type="dxa" w:w="232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Depending on private backend internals</w:t>
            </w:r>
          </w:p>
        </w:tc>
      </w:tr>
      <w:tr>
        <w:tc>
          <w:tcPr>
            <w:tcW w:type="dxa" w:w="1247"/>
            <w:tcMar>
              <w:top w:w="85" w:type="dxa"/>
              <w:start w:w="95" w:type="dxa"/>
              <w:bottom w:w="85" w:type="dxa"/>
              <w:end w:w="95" w:type="dxa"/>
            </w:tcMar>
            <w:vAlign w:val="center"/>
          </w:tcPr>
          <w:p>
            <w:pPr>
              <w:spacing w:after="0"/>
              <w:jc w:val="left"/>
            </w:pPr>
            <w:r>
              <w:rPr>
                <w:rFonts w:ascii="Times New Roman" w:hAnsi="Times New Roman" w:eastAsia="Times New Roman"/>
                <w:sz w:val="15"/>
              </w:rPr>
              <w:t>Graph kernels</w:t>
            </w:r>
          </w:p>
        </w:tc>
        <w:tc>
          <w:tcPr>
            <w:tcW w:type="dxa" w:w="2494"/>
            <w:tcMar>
              <w:top w:w="85" w:type="dxa"/>
              <w:start w:w="95" w:type="dxa"/>
              <w:bottom w:w="85" w:type="dxa"/>
              <w:end w:w="95" w:type="dxa"/>
            </w:tcMar>
            <w:vAlign w:val="center"/>
          </w:tcPr>
          <w:p>
            <w:pPr>
              <w:spacing w:after="0"/>
              <w:jc w:val="left"/>
            </w:pPr>
            <w:r>
              <w:rPr>
                <w:rFonts w:ascii="Times New Roman" w:hAnsi="Times New Roman" w:eastAsia="Times New Roman"/>
                <w:sz w:val="15"/>
              </w:rPr>
              <w:t>rustworkx for hot graph paths; NetworkX only for prototyping</w:t>
            </w:r>
          </w:p>
        </w:tc>
        <w:tc>
          <w:tcPr>
            <w:tcW w:type="dxa" w:w="3175"/>
            <w:tcMar>
              <w:top w:w="85" w:type="dxa"/>
              <w:start w:w="95" w:type="dxa"/>
              <w:bottom w:w="85" w:type="dxa"/>
              <w:end w:w="95" w:type="dxa"/>
            </w:tcMar>
            <w:vAlign w:val="center"/>
          </w:tcPr>
          <w:p>
            <w:pPr>
              <w:spacing w:after="0"/>
              <w:jc w:val="left"/>
            </w:pPr>
            <w:r>
              <w:rPr>
                <w:rFonts w:ascii="Times New Roman" w:hAnsi="Times New Roman" w:eastAsia="Times New Roman"/>
                <w:sz w:val="15"/>
              </w:rPr>
              <w:t>Qiskit-aligned performance with a familiar fallback</w:t>
            </w:r>
          </w:p>
        </w:tc>
        <w:tc>
          <w:tcPr>
            <w:tcW w:type="dxa" w:w="2324"/>
            <w:tcMar>
              <w:top w:w="85" w:type="dxa"/>
              <w:start w:w="95" w:type="dxa"/>
              <w:bottom w:w="85" w:type="dxa"/>
              <w:end w:w="95" w:type="dxa"/>
            </w:tcMar>
            <w:vAlign w:val="center"/>
          </w:tcPr>
          <w:p>
            <w:pPr>
              <w:spacing w:after="0"/>
              <w:jc w:val="left"/>
            </w:pPr>
            <w:r>
              <w:rPr>
                <w:rFonts w:ascii="Times New Roman" w:hAnsi="Times New Roman" w:eastAsia="Times New Roman"/>
                <w:sz w:val="15"/>
              </w:rPr>
              <w:t>Premature custom C++</w:t>
            </w:r>
          </w:p>
        </w:tc>
      </w:tr>
      <w:tr>
        <w:tc>
          <w:tcPr>
            <w:tcW w:type="dxa" w:w="1247"/>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Learning</w:t>
            </w:r>
          </w:p>
        </w:tc>
        <w:tc>
          <w:tcPr>
            <w:tcW w:type="dxa" w:w="249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PyTorch + PyTorch Geometric</w:t>
            </w:r>
          </w:p>
        </w:tc>
        <w:tc>
          <w:tcPr>
            <w:tcW w:type="dxa" w:w="3175"/>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Custom message passing over node and edge features [R9]</w:t>
            </w:r>
          </w:p>
        </w:tc>
        <w:tc>
          <w:tcPr>
            <w:tcW w:type="dxa" w:w="232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A fixed MLP that discards topology</w:t>
            </w:r>
          </w:p>
        </w:tc>
      </w:tr>
      <w:tr>
        <w:tc>
          <w:tcPr>
            <w:tcW w:type="dxa" w:w="1247"/>
            <w:tcMar>
              <w:top w:w="85" w:type="dxa"/>
              <w:start w:w="95" w:type="dxa"/>
              <w:bottom w:w="85" w:type="dxa"/>
              <w:end w:w="95" w:type="dxa"/>
            </w:tcMar>
            <w:vAlign w:val="center"/>
          </w:tcPr>
          <w:p>
            <w:pPr>
              <w:spacing w:after="0"/>
              <w:jc w:val="left"/>
            </w:pPr>
            <w:r>
              <w:rPr>
                <w:rFonts w:ascii="Times New Roman" w:hAnsi="Times New Roman" w:eastAsia="Times New Roman"/>
                <w:sz w:val="15"/>
              </w:rPr>
              <w:t>Environment</w:t>
            </w:r>
          </w:p>
        </w:tc>
        <w:tc>
          <w:tcPr>
            <w:tcW w:type="dxa" w:w="2494"/>
            <w:tcMar>
              <w:top w:w="85" w:type="dxa"/>
              <w:start w:w="95" w:type="dxa"/>
              <w:bottom w:w="85" w:type="dxa"/>
              <w:end w:w="95" w:type="dxa"/>
            </w:tcMar>
            <w:vAlign w:val="center"/>
          </w:tcPr>
          <w:p>
            <w:pPr>
              <w:spacing w:after="0"/>
              <w:jc w:val="left"/>
            </w:pPr>
            <w:r>
              <w:rPr>
                <w:rFonts w:ascii="Times New Roman" w:hAnsi="Times New Roman" w:eastAsia="Times New Roman"/>
                <w:sz w:val="15"/>
              </w:rPr>
              <w:t>Gymnasium custom Env</w:t>
            </w:r>
          </w:p>
        </w:tc>
        <w:tc>
          <w:tcPr>
            <w:tcW w:type="dxa" w:w="3175"/>
            <w:tcMar>
              <w:top w:w="85" w:type="dxa"/>
              <w:start w:w="95" w:type="dxa"/>
              <w:bottom w:w="85" w:type="dxa"/>
              <w:end w:w="95" w:type="dxa"/>
            </w:tcMar>
            <w:vAlign w:val="center"/>
          </w:tcPr>
          <w:p>
            <w:pPr>
              <w:spacing w:after="0"/>
              <w:jc w:val="left"/>
            </w:pPr>
            <w:r>
              <w:rPr>
                <w:rFonts w:ascii="Times New Roman" w:hAnsi="Times New Roman" w:eastAsia="Times New Roman"/>
                <w:sz w:val="15"/>
              </w:rPr>
              <w:t>Clear reset/step contract, checker, wrappers, vectorisation [R10]</w:t>
            </w:r>
          </w:p>
        </w:tc>
        <w:tc>
          <w:tcPr>
            <w:tcW w:type="dxa" w:w="2324"/>
            <w:tcMar>
              <w:top w:w="85" w:type="dxa"/>
              <w:start w:w="95" w:type="dxa"/>
              <w:bottom w:w="85" w:type="dxa"/>
              <w:end w:w="95" w:type="dxa"/>
            </w:tcMar>
            <w:vAlign w:val="center"/>
          </w:tcPr>
          <w:p>
            <w:pPr>
              <w:spacing w:after="0"/>
              <w:jc w:val="left"/>
            </w:pPr>
            <w:r>
              <w:rPr>
                <w:rFonts w:ascii="Times New Roman" w:hAnsi="Times New Roman" w:eastAsia="Times New Roman"/>
                <w:sz w:val="15"/>
              </w:rPr>
              <w:t>Training logic embedded inside compiler code</w:t>
            </w:r>
          </w:p>
        </w:tc>
      </w:tr>
      <w:tr>
        <w:tc>
          <w:tcPr>
            <w:tcW w:type="dxa" w:w="1247"/>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PPO</w:t>
            </w:r>
          </w:p>
        </w:tc>
        <w:tc>
          <w:tcPr>
            <w:tcW w:type="dxa" w:w="249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Small in-repo masked PPO implementation</w:t>
            </w:r>
          </w:p>
        </w:tc>
        <w:tc>
          <w:tcPr>
            <w:tcW w:type="dxa" w:w="3175"/>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Graph policy and variable edge actions are easier to control and audit</w:t>
            </w:r>
          </w:p>
        </w:tc>
        <w:tc>
          <w:tcPr>
            <w:tcW w:type="dxa" w:w="232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Forcing a library policy API that cannot express edge masks</w:t>
            </w:r>
          </w:p>
        </w:tc>
      </w:tr>
      <w:tr>
        <w:tc>
          <w:tcPr>
            <w:tcW w:type="dxa" w:w="1247"/>
            <w:tcMar>
              <w:top w:w="85" w:type="dxa"/>
              <w:start w:w="95" w:type="dxa"/>
              <w:bottom w:w="85" w:type="dxa"/>
              <w:end w:w="95" w:type="dxa"/>
            </w:tcMar>
            <w:vAlign w:val="center"/>
          </w:tcPr>
          <w:p>
            <w:pPr>
              <w:spacing w:after="0"/>
              <w:jc w:val="left"/>
            </w:pPr>
            <w:r>
              <w:rPr>
                <w:rFonts w:ascii="Times New Roman" w:hAnsi="Times New Roman" w:eastAsia="Times New Roman"/>
                <w:sz w:val="15"/>
              </w:rPr>
              <w:t>Exact oracle</w:t>
            </w:r>
          </w:p>
        </w:tc>
        <w:tc>
          <w:tcPr>
            <w:tcW w:type="dxa" w:w="2494"/>
            <w:tcMar>
              <w:top w:w="85" w:type="dxa"/>
              <w:start w:w="95" w:type="dxa"/>
              <w:bottom w:w="85" w:type="dxa"/>
              <w:end w:w="95" w:type="dxa"/>
            </w:tcMar>
            <w:vAlign w:val="center"/>
          </w:tcPr>
          <w:p>
            <w:pPr>
              <w:spacing w:after="0"/>
              <w:jc w:val="left"/>
            </w:pPr>
            <w:r>
              <w:rPr>
                <w:rFonts w:ascii="Times New Roman" w:hAnsi="Times New Roman" w:eastAsia="Times New Roman"/>
                <w:sz w:val="15"/>
              </w:rPr>
              <w:t>OR-Tools CP-SAT for small mapping/scheduling cases</w:t>
            </w:r>
          </w:p>
        </w:tc>
        <w:tc>
          <w:tcPr>
            <w:tcW w:type="dxa" w:w="3175"/>
            <w:tcMar>
              <w:top w:w="85" w:type="dxa"/>
              <w:start w:w="95" w:type="dxa"/>
              <w:bottom w:w="85" w:type="dxa"/>
              <w:end w:w="95" w:type="dxa"/>
            </w:tcMar>
            <w:vAlign w:val="center"/>
          </w:tcPr>
          <w:p>
            <w:pPr>
              <w:spacing w:after="0"/>
              <w:jc w:val="left"/>
            </w:pPr>
            <w:r>
              <w:rPr>
                <w:rFonts w:ascii="Times New Roman" w:hAnsi="Times New Roman" w:eastAsia="Times New Roman"/>
                <w:sz w:val="15"/>
              </w:rPr>
              <w:t>Provides optimum or bounded references for small instances [R11]</w:t>
            </w:r>
          </w:p>
        </w:tc>
        <w:tc>
          <w:tcPr>
            <w:tcW w:type="dxa" w:w="2324"/>
            <w:tcMar>
              <w:top w:w="85" w:type="dxa"/>
              <w:start w:w="95" w:type="dxa"/>
              <w:bottom w:w="85" w:type="dxa"/>
              <w:end w:w="95" w:type="dxa"/>
            </w:tcMar>
            <w:vAlign w:val="center"/>
          </w:tcPr>
          <w:p>
            <w:pPr>
              <w:spacing w:after="0"/>
              <w:jc w:val="left"/>
            </w:pPr>
            <w:r>
              <w:rPr>
                <w:rFonts w:ascii="Times New Roman" w:hAnsi="Times New Roman" w:eastAsia="Times New Roman"/>
                <w:sz w:val="15"/>
              </w:rPr>
              <w:t>Running exact search on the full benchmark</w:t>
            </w:r>
          </w:p>
        </w:tc>
      </w:tr>
      <w:tr>
        <w:tc>
          <w:tcPr>
            <w:tcW w:type="dxa" w:w="1247"/>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Benchmarks</w:t>
            </w:r>
          </w:p>
        </w:tc>
        <w:tc>
          <w:tcPr>
            <w:tcW w:type="dxa" w:w="249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MQT Bench + QASMBench + synthetic families</w:t>
            </w:r>
          </w:p>
        </w:tc>
        <w:tc>
          <w:tcPr>
            <w:tcW w:type="dxa" w:w="3175"/>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Breadth, reproducibility, and controlled topology stress [R6, R7]</w:t>
            </w:r>
          </w:p>
        </w:tc>
        <w:tc>
          <w:tcPr>
            <w:tcW w:type="dxa" w:w="232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Only hand-picked favourable circuits</w:t>
            </w:r>
          </w:p>
        </w:tc>
      </w:tr>
      <w:tr>
        <w:tc>
          <w:tcPr>
            <w:tcW w:type="dxa" w:w="1247"/>
            <w:tcMar>
              <w:top w:w="85" w:type="dxa"/>
              <w:start w:w="95" w:type="dxa"/>
              <w:bottom w:w="85" w:type="dxa"/>
              <w:end w:w="95" w:type="dxa"/>
            </w:tcMar>
            <w:vAlign w:val="center"/>
          </w:tcPr>
          <w:p>
            <w:pPr>
              <w:spacing w:after="0"/>
              <w:jc w:val="left"/>
            </w:pPr>
            <w:r>
              <w:rPr>
                <w:rFonts w:ascii="Times New Roman" w:hAnsi="Times New Roman" w:eastAsia="Times New Roman"/>
                <w:sz w:val="15"/>
              </w:rPr>
              <w:t>Validation</w:t>
            </w:r>
          </w:p>
        </w:tc>
        <w:tc>
          <w:tcPr>
            <w:tcW w:type="dxa" w:w="2494"/>
            <w:tcMar>
              <w:top w:w="85" w:type="dxa"/>
              <w:start w:w="95" w:type="dxa"/>
              <w:bottom w:w="85" w:type="dxa"/>
              <w:end w:w="95" w:type="dxa"/>
            </w:tcMar>
            <w:vAlign w:val="center"/>
          </w:tcPr>
          <w:p>
            <w:pPr>
              <w:spacing w:after="0"/>
              <w:jc w:val="left"/>
            </w:pPr>
            <w:r>
              <w:rPr>
                <w:rFonts w:ascii="Times New Roman" w:hAnsi="Times New Roman" w:eastAsia="Times New Roman"/>
                <w:sz w:val="15"/>
              </w:rPr>
              <w:t>Qiskit operators/statevectors + optional MQT QCEC</w:t>
            </w:r>
          </w:p>
        </w:tc>
        <w:tc>
          <w:tcPr>
            <w:tcW w:type="dxa" w:w="3175"/>
            <w:tcMar>
              <w:top w:w="85" w:type="dxa"/>
              <w:start w:w="95" w:type="dxa"/>
              <w:bottom w:w="85" w:type="dxa"/>
              <w:end w:w="95" w:type="dxa"/>
            </w:tcMar>
            <w:vAlign w:val="center"/>
          </w:tcPr>
          <w:p>
            <w:pPr>
              <w:spacing w:after="0"/>
              <w:jc w:val="left"/>
            </w:pPr>
            <w:r>
              <w:rPr>
                <w:rFonts w:ascii="Times New Roman" w:hAnsi="Times New Roman" w:eastAsia="Times New Roman"/>
                <w:sz w:val="15"/>
              </w:rPr>
              <w:t>Final-layout-aware semantic checks</w:t>
            </w:r>
          </w:p>
        </w:tc>
        <w:tc>
          <w:tcPr>
            <w:tcW w:type="dxa" w:w="2324"/>
            <w:tcMar>
              <w:top w:w="85" w:type="dxa"/>
              <w:start w:w="95" w:type="dxa"/>
              <w:bottom w:w="85" w:type="dxa"/>
              <w:end w:w="95" w:type="dxa"/>
            </w:tcMar>
            <w:vAlign w:val="center"/>
          </w:tcPr>
          <w:p>
            <w:pPr>
              <w:spacing w:after="0"/>
              <w:jc w:val="left"/>
            </w:pPr>
            <w:r>
              <w:rPr>
                <w:rFonts w:ascii="Times New Roman" w:hAnsi="Times New Roman" w:eastAsia="Times New Roman"/>
                <w:sz w:val="15"/>
              </w:rPr>
              <w:t>Visual circuit comparison</w:t>
            </w:r>
          </w:p>
        </w:tc>
      </w:tr>
      <w:tr>
        <w:tc>
          <w:tcPr>
            <w:tcW w:type="dxa" w:w="1247"/>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Data and stats</w:t>
            </w:r>
          </w:p>
        </w:tc>
        <w:tc>
          <w:tcPr>
            <w:tcW w:type="dxa" w:w="249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Parquet/CSV, pandas, SciPy, bootstrap scripts</w:t>
            </w:r>
          </w:p>
        </w:tc>
        <w:tc>
          <w:tcPr>
            <w:tcW w:type="dxa" w:w="3175"/>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Transparent paired analysis and regenerable tables</w:t>
            </w:r>
          </w:p>
        </w:tc>
        <w:tc>
          <w:tcPr>
            <w:tcW w:type="dxa" w:w="232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Manual spreadsheet result editing</w:t>
            </w:r>
          </w:p>
        </w:tc>
      </w:tr>
      <w:tr>
        <w:tc>
          <w:tcPr>
            <w:tcW w:type="dxa" w:w="1247"/>
            <w:tcMar>
              <w:top w:w="85" w:type="dxa"/>
              <w:start w:w="95" w:type="dxa"/>
              <w:bottom w:w="85" w:type="dxa"/>
              <w:end w:w="95" w:type="dxa"/>
            </w:tcMar>
            <w:vAlign w:val="center"/>
          </w:tcPr>
          <w:p>
            <w:pPr>
              <w:spacing w:after="0"/>
              <w:jc w:val="left"/>
            </w:pPr>
            <w:r>
              <w:rPr>
                <w:rFonts w:ascii="Times New Roman" w:hAnsi="Times New Roman" w:eastAsia="Times New Roman"/>
                <w:sz w:val="15"/>
              </w:rPr>
              <w:t>Experiment config</w:t>
            </w:r>
          </w:p>
        </w:tc>
        <w:tc>
          <w:tcPr>
            <w:tcW w:type="dxa" w:w="2494"/>
            <w:tcMar>
              <w:top w:w="85" w:type="dxa"/>
              <w:start w:w="95" w:type="dxa"/>
              <w:bottom w:w="85" w:type="dxa"/>
              <w:end w:w="95" w:type="dxa"/>
            </w:tcMar>
            <w:vAlign w:val="center"/>
          </w:tcPr>
          <w:p>
            <w:pPr>
              <w:spacing w:after="0"/>
              <w:jc w:val="left"/>
            </w:pPr>
            <w:r>
              <w:rPr>
                <w:rFonts w:ascii="Times New Roman" w:hAnsi="Times New Roman" w:eastAsia="Times New Roman"/>
                <w:sz w:val="15"/>
              </w:rPr>
              <w:t>YAML + dataclasses; frozen config copied into each run</w:t>
            </w:r>
          </w:p>
        </w:tc>
        <w:tc>
          <w:tcPr>
            <w:tcW w:type="dxa" w:w="3175"/>
            <w:tcMar>
              <w:top w:w="85" w:type="dxa"/>
              <w:start w:w="95" w:type="dxa"/>
              <w:bottom w:w="85" w:type="dxa"/>
              <w:end w:w="95" w:type="dxa"/>
            </w:tcMar>
            <w:vAlign w:val="center"/>
          </w:tcPr>
          <w:p>
            <w:pPr>
              <w:spacing w:after="0"/>
              <w:jc w:val="left"/>
            </w:pPr>
            <w:r>
              <w:rPr>
                <w:rFonts w:ascii="Times New Roman" w:hAnsi="Times New Roman" w:eastAsia="Times New Roman"/>
                <w:sz w:val="15"/>
              </w:rPr>
              <w:t>Low ceremony and complete provenance</w:t>
            </w:r>
          </w:p>
        </w:tc>
        <w:tc>
          <w:tcPr>
            <w:tcW w:type="dxa" w:w="2324"/>
            <w:tcMar>
              <w:top w:w="85" w:type="dxa"/>
              <w:start w:w="95" w:type="dxa"/>
              <w:bottom w:w="85" w:type="dxa"/>
              <w:end w:w="95" w:type="dxa"/>
            </w:tcMar>
            <w:vAlign w:val="center"/>
          </w:tcPr>
          <w:p>
            <w:pPr>
              <w:spacing w:after="0"/>
              <w:jc w:val="left"/>
            </w:pPr>
            <w:r>
              <w:rPr>
                <w:rFonts w:ascii="Times New Roman" w:hAnsi="Times New Roman" w:eastAsia="Times New Roman"/>
                <w:sz w:val="15"/>
              </w:rPr>
              <w:t>Over-engineered distributed configuration</w:t>
            </w:r>
          </w:p>
        </w:tc>
      </w:tr>
      <w:tr>
        <w:tc>
          <w:tcPr>
            <w:tcW w:type="dxa" w:w="1247"/>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Quality</w:t>
            </w:r>
          </w:p>
        </w:tc>
        <w:tc>
          <w:tcPr>
            <w:tcW w:type="dxa" w:w="249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pytest, Hypothesis, Ruff, mypy, GitHub Actions</w:t>
            </w:r>
          </w:p>
        </w:tc>
        <w:tc>
          <w:tcPr>
            <w:tcW w:type="dxa" w:w="3175"/>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Fast invariant, property, style, and integration checks</w:t>
            </w:r>
          </w:p>
        </w:tc>
        <w:tc>
          <w:tcPr>
            <w:tcW w:type="dxa" w:w="2324"/>
            <w:shd w:fill="F8FAFC"/>
            <w:tcMar>
              <w:top w:w="85" w:type="dxa"/>
              <w:start w:w="95" w:type="dxa"/>
              <w:bottom w:w="85" w:type="dxa"/>
              <w:end w:w="95" w:type="dxa"/>
            </w:tcMar>
            <w:vAlign w:val="center"/>
          </w:tcPr>
          <w:p>
            <w:pPr>
              <w:spacing w:after="0"/>
              <w:jc w:val="left"/>
            </w:pPr>
            <w:r>
              <w:rPr>
                <w:rFonts w:ascii="Times New Roman" w:hAnsi="Times New Roman" w:eastAsia="Times New Roman"/>
                <w:sz w:val="15"/>
              </w:rPr>
              <w:t>Coverage targets without meaningful assertions</w:t>
            </w:r>
          </w:p>
        </w:tc>
      </w:tr>
      <w:tr>
        <w:tc>
          <w:tcPr>
            <w:tcW w:type="dxa" w:w="1247"/>
            <w:tcMar>
              <w:top w:w="85" w:type="dxa"/>
              <w:start w:w="95" w:type="dxa"/>
              <w:bottom w:w="85" w:type="dxa"/>
              <w:end w:w="95" w:type="dxa"/>
            </w:tcMar>
            <w:vAlign w:val="center"/>
          </w:tcPr>
          <w:p>
            <w:pPr>
              <w:spacing w:after="0"/>
              <w:jc w:val="left"/>
            </w:pPr>
            <w:r>
              <w:rPr>
                <w:rFonts w:ascii="Times New Roman" w:hAnsi="Times New Roman" w:eastAsia="Times New Roman"/>
                <w:sz w:val="15"/>
              </w:rPr>
              <w:t>Paper</w:t>
            </w:r>
          </w:p>
        </w:tc>
        <w:tc>
          <w:tcPr>
            <w:tcW w:type="dxa" w:w="2494"/>
            <w:tcMar>
              <w:top w:w="85" w:type="dxa"/>
              <w:start w:w="95" w:type="dxa"/>
              <w:bottom w:w="85" w:type="dxa"/>
              <w:end w:w="95" w:type="dxa"/>
            </w:tcMar>
            <w:vAlign w:val="center"/>
          </w:tcPr>
          <w:p>
            <w:pPr>
              <w:spacing w:after="0"/>
              <w:jc w:val="left"/>
            </w:pPr>
            <w:r>
              <w:rPr>
                <w:rFonts w:ascii="Times New Roman" w:hAnsi="Times New Roman" w:eastAsia="Times New Roman"/>
                <w:sz w:val="15"/>
              </w:rPr>
              <w:t>LaTeX + latexmk; IEEEtran or IOP template after venue freeze</w:t>
            </w:r>
          </w:p>
        </w:tc>
        <w:tc>
          <w:tcPr>
            <w:tcW w:type="dxa" w:w="3175"/>
            <w:tcMar>
              <w:top w:w="85" w:type="dxa"/>
              <w:start w:w="95" w:type="dxa"/>
              <w:bottom w:w="85" w:type="dxa"/>
              <w:end w:w="95" w:type="dxa"/>
            </w:tcMar>
            <w:vAlign w:val="center"/>
          </w:tcPr>
          <w:p>
            <w:pPr>
              <w:spacing w:after="0"/>
              <w:jc w:val="left"/>
            </w:pPr>
            <w:r>
              <w:rPr>
                <w:rFonts w:ascii="Times New Roman" w:hAnsi="Times New Roman" w:eastAsia="Times New Roman"/>
                <w:sz w:val="15"/>
              </w:rPr>
              <w:t>Source-controlled equations, references, and figures</w:t>
            </w:r>
          </w:p>
        </w:tc>
        <w:tc>
          <w:tcPr>
            <w:tcW w:type="dxa" w:w="2324"/>
            <w:tcMar>
              <w:top w:w="85" w:type="dxa"/>
              <w:start w:w="95" w:type="dxa"/>
              <w:bottom w:w="85" w:type="dxa"/>
              <w:end w:w="95" w:type="dxa"/>
            </w:tcMar>
            <w:vAlign w:val="center"/>
          </w:tcPr>
          <w:p>
            <w:pPr>
              <w:spacing w:after="0"/>
              <w:jc w:val="left"/>
            </w:pPr>
            <w:r>
              <w:rPr>
                <w:rFonts w:ascii="Times New Roman" w:hAnsi="Times New Roman" w:eastAsia="Times New Roman"/>
                <w:sz w:val="15"/>
              </w:rPr>
              <w:t>Formatting the final paper only in Word</w:t>
            </w:r>
          </w:p>
        </w:tc>
      </w:tr>
    </w:tbl>
    <w:p>
      <w:pPr>
        <w:spacing w:after="0"/>
      </w:pPr>
    </w:p>
    <w:p>
      <w:r>
        <w:rPr>
          <w:rFonts w:ascii="Times New Roman" w:hAnsi="Times New Roman" w:eastAsia="Times New Roman"/>
          <w:i w:val="0"/>
        </w:rPr>
        <w:t>Version policy. Run a compatibility spike and then pin exact versions in a lockfile. The current IBM documentation uses Qiskit 2.5.1 or newer in its transpiler-stage examples [R8], but the project must pin the exact version that passes its tests. For PyTorch and PyG, follow their compatibility matrix rather than copying an arbitrary pair from a tutorial.</w:t>
      </w:r>
    </w:p>
    <w:p>
      <w:pPr>
        <w:pStyle w:val="Heading1"/>
      </w:pPr>
      <w:r>
        <w:t>8 Proposed Repository Architecture</w:t>
      </w:r>
    </w:p>
    <w:p>
      <w:pPr>
        <w:pStyle w:val="Code"/>
      </w:pPr>
      <w:r>
        <w:t>qweave/</w:t>
        <w:br/>
        <w:t xml:space="preserve">  pyproject.toml                 # pinned dependencies and tooling</w:t>
        <w:br/>
        <w:t xml:space="preserve">  configs/                       # targets, experiments, training, seeds</w:t>
        <w:br/>
        <w:t xml:space="preserve">  src/qweave/</w:t>
        <w:br/>
        <w:t xml:space="preserve">    ir/                          # circuit DAG and hardware model adapters</w:t>
        <w:br/>
        <w:t xml:space="preserve">    mapping/                     # interaction graph and local search</w:t>
        <w:br/>
        <w:t xml:space="preserve">    routing/env.py               # Gymnasium environment</w:t>
        <w:br/>
        <w:t xml:space="preserve">    routing/features.py          # graph-state construction</w:t>
        <w:br/>
        <w:t xml:space="preserve">    routing/policy.py            # GNN actor-critic and masks</w:t>
        <w:br/>
        <w:t xml:space="preserve">    routing/ppo.py               # rollout and clipped updates</w:t>
        <w:br/>
        <w:t xml:space="preserve">    routing/fallback.py          # deterministic shortest-path router</w:t>
        <w:br/>
        <w:t xml:space="preserve">    scheduling/                  # critical-path list scheduler</w:t>
        <w:br/>
        <w:t xml:space="preserve">    validation/                  # legality, invariants, equivalence</w:t>
        <w:br/>
        <w:t xml:space="preserve">    passes/                      # Qiskit pass wrappers and integration</w:t>
        <w:br/>
        <w:t xml:space="preserve">  experiments/                   # runners; never hand-edited results</w:t>
        <w:br/>
        <w:t xml:space="preserve">  tests/                         # unit, property, integration, regression</w:t>
        <w:br/>
        <w:t xml:space="preserve">  artifacts/{raw,processed,figures,tables}/</w:t>
        <w:br/>
        <w:t xml:space="preserve">  paper/                         # LaTeX, bibliography, generated figures</w:t>
        <w:br/>
        <w:t xml:space="preserve">  scripts/reproduce_main.sh      # one-command principal result rebuild</w:t>
      </w:r>
    </w:p>
    <w:p>
      <w:pPr>
        <w:pStyle w:val="Heading1"/>
      </w:pPr>
      <w:r>
        <w:t>9 Interface Signatures</w:t>
      </w:r>
    </w:p>
    <w:p>
      <w:pPr>
        <w:pStyle w:val="Code"/>
      </w:pPr>
      <w:r>
        <w:t>InitialMapper.map(circuit_dag, target, seed) -&gt; MappingResult</w:t>
        <w:br/>
        <w:t>RoutingEnv.reset(circuit_dag, target, initial_mapping, seed) -&gt; GraphObservation</w:t>
        <w:br/>
        <w:t>RoutingEnv.step(action) -&gt; observation, reward, terminated, truncated, info</w:t>
        <w:br/>
        <w:t>Router.route(circuit_dag, target, initial_mapping, policy) -&gt; RoutedCircuit</w:t>
        <w:br/>
        <w:t>Scheduler.schedule(routed_dag, target) -&gt; ScheduleResult</w:t>
        <w:br/>
        <w:t>Validator.validate(input_circuit, output_circuit, layouts, target) -&gt; Evidence</w:t>
        <w:br/>
        <w:t>ExperimentRunner.run(config) -&gt; immutable result.json + circuit artifacts</w:t>
      </w:r>
    </w:p>
    <w:p>
      <w:pPr>
        <w:pStyle w:val="Heading1"/>
      </w:pPr>
      <w:r>
        <w:t>10 Test Architecture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18"/>
        <w:gridCol w:w="3118"/>
        <w:gridCol w:w="3118"/>
      </w:tblGrid>
      <w:tr>
        <w:trPr>
          <w:tblHeader w:val="true"/>
        </w:trPr>
        <w:tc>
          <w:tcPr>
            <w:tcW w:type="dxa" w:w="1701"/>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8"/>
              </w:rPr>
              <w:t>Test class</w:t>
            </w:r>
          </w:p>
        </w:tc>
        <w:tc>
          <w:tcPr>
            <w:tcW w:type="dxa" w:w="5046"/>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8"/>
              </w:rPr>
              <w:t>Examples</w:t>
            </w:r>
          </w:p>
        </w:tc>
        <w:tc>
          <w:tcPr>
            <w:tcW w:type="dxa" w:w="2494"/>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8"/>
              </w:rPr>
              <w:t>When it runs</w:t>
            </w:r>
          </w:p>
        </w:tc>
      </w:tr>
      <w:tr>
        <w:tc>
          <w:tcPr>
            <w:tcW w:type="dxa" w:w="1701"/>
            <w:tcMar>
              <w:top w:w="85" w:type="dxa"/>
              <w:start w:w="95" w:type="dxa"/>
              <w:bottom w:w="85" w:type="dxa"/>
              <w:end w:w="95" w:type="dxa"/>
            </w:tcMar>
            <w:vAlign w:val="center"/>
          </w:tcPr>
          <w:p>
            <w:pPr>
              <w:spacing w:after="0"/>
              <w:jc w:val="left"/>
            </w:pPr>
            <w:r>
              <w:rPr>
                <w:rFonts w:ascii="Times New Roman" w:hAnsi="Times New Roman" w:eastAsia="Times New Roman"/>
                <w:sz w:val="18"/>
              </w:rPr>
              <w:t>Unit</w:t>
            </w:r>
          </w:p>
        </w:tc>
        <w:tc>
          <w:tcPr>
            <w:tcW w:type="dxa" w:w="5046"/>
            <w:tcMar>
              <w:top w:w="85" w:type="dxa"/>
              <w:start w:w="95" w:type="dxa"/>
              <w:bottom w:w="85" w:type="dxa"/>
              <w:end w:w="95" w:type="dxa"/>
            </w:tcMar>
            <w:vAlign w:val="center"/>
          </w:tcPr>
          <w:p>
            <w:pPr>
              <w:spacing w:after="0"/>
              <w:jc w:val="left"/>
            </w:pPr>
            <w:r>
              <w:rPr>
                <w:rFonts w:ascii="Times New Roman" w:hAnsi="Times New Roman" w:eastAsia="Times New Roman"/>
                <w:sz w:val="18"/>
              </w:rPr>
              <w:t>mapping update, distances, masks, reward components, critical ranks</w:t>
            </w:r>
          </w:p>
        </w:tc>
        <w:tc>
          <w:tcPr>
            <w:tcW w:type="dxa" w:w="2494"/>
            <w:tcMar>
              <w:top w:w="85" w:type="dxa"/>
              <w:start w:w="95" w:type="dxa"/>
              <w:bottom w:w="85" w:type="dxa"/>
              <w:end w:w="95" w:type="dxa"/>
            </w:tcMar>
            <w:vAlign w:val="center"/>
          </w:tcPr>
          <w:p>
            <w:pPr>
              <w:spacing w:after="0"/>
              <w:jc w:val="left"/>
            </w:pPr>
            <w:r>
              <w:rPr>
                <w:rFonts w:ascii="Times New Roman" w:hAnsi="Times New Roman" w:eastAsia="Times New Roman"/>
                <w:sz w:val="18"/>
              </w:rPr>
              <w:t>Every commit</w:t>
            </w:r>
          </w:p>
        </w:tc>
      </w:tr>
      <w:tr>
        <w:tc>
          <w:tcPr>
            <w:tcW w:type="dxa" w:w="1701"/>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Property-based</w:t>
            </w:r>
          </w:p>
        </w:tc>
        <w:tc>
          <w:tcPr>
            <w:tcW w:type="dxa" w:w="5046"/>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injectivity preserved; illegal actions never selected; schedule intervals disjoint</w:t>
            </w:r>
          </w:p>
        </w:tc>
        <w:tc>
          <w:tcPr>
            <w:tcW w:type="dxa" w:w="2494"/>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Every pull request</w:t>
            </w:r>
          </w:p>
        </w:tc>
      </w:tr>
      <w:tr>
        <w:tc>
          <w:tcPr>
            <w:tcW w:type="dxa" w:w="1701"/>
            <w:tcMar>
              <w:top w:w="85" w:type="dxa"/>
              <w:start w:w="95" w:type="dxa"/>
              <w:bottom w:w="85" w:type="dxa"/>
              <w:end w:w="95" w:type="dxa"/>
            </w:tcMar>
            <w:vAlign w:val="center"/>
          </w:tcPr>
          <w:p>
            <w:pPr>
              <w:spacing w:after="0"/>
              <w:jc w:val="left"/>
            </w:pPr>
            <w:r>
              <w:rPr>
                <w:rFonts w:ascii="Times New Roman" w:hAnsi="Times New Roman" w:eastAsia="Times New Roman"/>
                <w:sz w:val="18"/>
              </w:rPr>
              <w:t>Metamorphic</w:t>
            </w:r>
          </w:p>
        </w:tc>
        <w:tc>
          <w:tcPr>
            <w:tcW w:type="dxa" w:w="5046"/>
            <w:tcMar>
              <w:top w:w="85" w:type="dxa"/>
              <w:start w:w="95" w:type="dxa"/>
              <w:bottom w:w="85" w:type="dxa"/>
              <w:end w:w="95" w:type="dxa"/>
            </w:tcMar>
            <w:vAlign w:val="center"/>
          </w:tcPr>
          <w:p>
            <w:pPr>
              <w:spacing w:after="0"/>
              <w:jc w:val="left"/>
            </w:pPr>
            <w:r>
              <w:rPr>
                <w:rFonts w:ascii="Times New Roman" w:hAnsi="Times New Roman" w:eastAsia="Times New Roman"/>
                <w:sz w:val="18"/>
              </w:rPr>
              <w:t>renamed qubits or graph isomorphism gives correspondingly renamed result</w:t>
            </w:r>
          </w:p>
        </w:tc>
        <w:tc>
          <w:tcPr>
            <w:tcW w:type="dxa" w:w="2494"/>
            <w:tcMar>
              <w:top w:w="85" w:type="dxa"/>
              <w:start w:w="95" w:type="dxa"/>
              <w:bottom w:w="85" w:type="dxa"/>
              <w:end w:w="95" w:type="dxa"/>
            </w:tcMar>
            <w:vAlign w:val="center"/>
          </w:tcPr>
          <w:p>
            <w:pPr>
              <w:spacing w:after="0"/>
              <w:jc w:val="left"/>
            </w:pPr>
            <w:r>
              <w:rPr>
                <w:rFonts w:ascii="Times New Roman" w:hAnsi="Times New Roman" w:eastAsia="Times New Roman"/>
                <w:sz w:val="18"/>
              </w:rPr>
              <w:t>Nightly or pre-merge</w:t>
            </w:r>
          </w:p>
        </w:tc>
      </w:tr>
      <w:tr>
        <w:tc>
          <w:tcPr>
            <w:tcW w:type="dxa" w:w="1701"/>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Equivalence</w:t>
            </w:r>
          </w:p>
        </w:tc>
        <w:tc>
          <w:tcPr>
            <w:tcW w:type="dxa" w:w="5046"/>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small Clifford/random circuits up to final permutation</w:t>
            </w:r>
          </w:p>
        </w:tc>
        <w:tc>
          <w:tcPr>
            <w:tcW w:type="dxa" w:w="2494"/>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Every pull request on bounded set</w:t>
            </w:r>
          </w:p>
        </w:tc>
      </w:tr>
      <w:tr>
        <w:tc>
          <w:tcPr>
            <w:tcW w:type="dxa" w:w="1701"/>
            <w:tcMar>
              <w:top w:w="85" w:type="dxa"/>
              <w:start w:w="95" w:type="dxa"/>
              <w:bottom w:w="85" w:type="dxa"/>
              <w:end w:w="95" w:type="dxa"/>
            </w:tcMar>
            <w:vAlign w:val="center"/>
          </w:tcPr>
          <w:p>
            <w:pPr>
              <w:spacing w:after="0"/>
              <w:jc w:val="left"/>
            </w:pPr>
            <w:r>
              <w:rPr>
                <w:rFonts w:ascii="Times New Roman" w:hAnsi="Times New Roman" w:eastAsia="Times New Roman"/>
                <w:sz w:val="18"/>
              </w:rPr>
              <w:t>Regression</w:t>
            </w:r>
          </w:p>
        </w:tc>
        <w:tc>
          <w:tcPr>
            <w:tcW w:type="dxa" w:w="5046"/>
            <w:tcMar>
              <w:top w:w="85" w:type="dxa"/>
              <w:start w:w="95" w:type="dxa"/>
              <w:bottom w:w="85" w:type="dxa"/>
              <w:end w:w="95" w:type="dxa"/>
            </w:tcMar>
            <w:vAlign w:val="center"/>
          </w:tcPr>
          <w:p>
            <w:pPr>
              <w:spacing w:after="0"/>
              <w:jc w:val="left"/>
            </w:pPr>
            <w:r>
              <w:rPr>
                <w:rFonts w:ascii="Times New Roman" w:hAnsi="Times New Roman" w:eastAsia="Times New Roman"/>
                <w:sz w:val="18"/>
              </w:rPr>
              <w:t>fixed circuits and seeds do not worsen beyond declared tolerance</w:t>
            </w:r>
          </w:p>
        </w:tc>
        <w:tc>
          <w:tcPr>
            <w:tcW w:type="dxa" w:w="2494"/>
            <w:tcMar>
              <w:top w:w="85" w:type="dxa"/>
              <w:start w:w="95" w:type="dxa"/>
              <w:bottom w:w="85" w:type="dxa"/>
              <w:end w:w="95" w:type="dxa"/>
            </w:tcMar>
            <w:vAlign w:val="center"/>
          </w:tcPr>
          <w:p>
            <w:pPr>
              <w:spacing w:after="0"/>
              <w:jc w:val="left"/>
            </w:pPr>
            <w:r>
              <w:rPr>
                <w:rFonts w:ascii="Times New Roman" w:hAnsi="Times New Roman" w:eastAsia="Times New Roman"/>
                <w:sz w:val="18"/>
              </w:rPr>
              <w:t>Pre-merge and release</w:t>
            </w:r>
          </w:p>
        </w:tc>
      </w:tr>
      <w:tr>
        <w:tc>
          <w:tcPr>
            <w:tcW w:type="dxa" w:w="1701"/>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Benchmark</w:t>
            </w:r>
          </w:p>
        </w:tc>
        <w:tc>
          <w:tcPr>
            <w:tcW w:type="dxa" w:w="5046"/>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full methods × circuits × targets × seeds matrix</w:t>
            </w:r>
          </w:p>
        </w:tc>
        <w:tc>
          <w:tcPr>
            <w:tcW w:type="dxa" w:w="2494"/>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Controlled experiment runs</w:t>
            </w:r>
          </w:p>
        </w:tc>
      </w:tr>
    </w:tbl>
    <w:p>
      <w:pPr>
        <w:spacing w:after="0"/>
      </w:pPr>
    </w:p>
    <w:p>
      <w:pPr>
        <w:pStyle w:val="Heading1"/>
      </w:pPr>
      <w:r>
        <w:t>11 Experiment Matrix and Reporting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77"/>
        <w:gridCol w:w="4677"/>
      </w:tblGrid>
      <w:tr>
        <w:trPr>
          <w:tblHeader w:val="true"/>
        </w:trPr>
        <w:tc>
          <w:tcPr>
            <w:tcW w:type="dxa" w:w="2268"/>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8"/>
              </w:rPr>
              <w:t>Axis</w:t>
            </w:r>
          </w:p>
        </w:tc>
        <w:tc>
          <w:tcPr>
            <w:tcW w:type="dxa" w:w="6973"/>
            <w:shd w:fill="17365D"/>
            <w:tcMar>
              <w:top w:w="85" w:type="dxa"/>
              <w:start w:w="95" w:type="dxa"/>
              <w:bottom w:w="85" w:type="dxa"/>
              <w:end w:w="95" w:type="dxa"/>
            </w:tcMar>
            <w:vAlign w:val="center"/>
          </w:tcPr>
          <w:p>
            <w:pPr>
              <w:jc w:val="center"/>
            </w:pPr>
            <w:r>
              <w:rPr>
                <w:rFonts w:ascii="Times New Roman" w:hAnsi="Times New Roman" w:eastAsia="Times New Roman"/>
                <w:b/>
                <w:color w:val="FFFFFF"/>
                <w:sz w:val="18"/>
              </w:rPr>
              <w:t>Required levels</w:t>
            </w:r>
          </w:p>
        </w:tc>
      </w:tr>
      <w:tr>
        <w:tc>
          <w:tcPr>
            <w:tcW w:type="dxa" w:w="2268"/>
            <w:tcMar>
              <w:top w:w="85" w:type="dxa"/>
              <w:start w:w="95" w:type="dxa"/>
              <w:bottom w:w="85" w:type="dxa"/>
              <w:end w:w="95" w:type="dxa"/>
            </w:tcMar>
            <w:vAlign w:val="center"/>
          </w:tcPr>
          <w:p>
            <w:pPr>
              <w:spacing w:after="0"/>
              <w:jc w:val="left"/>
            </w:pPr>
            <w:r>
              <w:rPr>
                <w:rFonts w:ascii="Times New Roman" w:hAnsi="Times New Roman" w:eastAsia="Times New Roman"/>
                <w:sz w:val="18"/>
              </w:rPr>
              <w:t>Methods</w:t>
            </w:r>
          </w:p>
        </w:tc>
        <w:tc>
          <w:tcPr>
            <w:tcW w:type="dxa" w:w="6973"/>
            <w:tcMar>
              <w:top w:w="85" w:type="dxa"/>
              <w:start w:w="95" w:type="dxa"/>
              <w:bottom w:w="85" w:type="dxa"/>
              <w:end w:w="95" w:type="dxa"/>
            </w:tcMar>
            <w:vAlign w:val="center"/>
          </w:tcPr>
          <w:p>
            <w:pPr>
              <w:spacing w:after="0"/>
              <w:jc w:val="left"/>
            </w:pPr>
            <w:r>
              <w:rPr>
                <w:rFonts w:ascii="Times New Roman" w:hAnsi="Times New Roman" w:eastAsia="Times New Roman"/>
                <w:sz w:val="18"/>
              </w:rPr>
              <w:t>Qiskit SABRE; heuristic + fallback; GNN-PPO + fallback; full QWeave; exact/CP-SAT on small cases</w:t>
            </w:r>
          </w:p>
        </w:tc>
      </w:tr>
      <w:tr>
        <w:tc>
          <w:tcPr>
            <w:tcW w:type="dxa" w:w="2268"/>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Ablations</w:t>
            </w:r>
          </w:p>
        </w:tc>
        <w:tc>
          <w:tcPr>
            <w:tcW w:type="dxa" w:w="6973"/>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No GNN; no PPO; no mapping refinement; no scheduler; no potential shaping</w:t>
            </w:r>
          </w:p>
        </w:tc>
      </w:tr>
      <w:tr>
        <w:tc>
          <w:tcPr>
            <w:tcW w:type="dxa" w:w="2268"/>
            <w:tcMar>
              <w:top w:w="85" w:type="dxa"/>
              <w:start w:w="95" w:type="dxa"/>
              <w:bottom w:w="85" w:type="dxa"/>
              <w:end w:w="95" w:type="dxa"/>
            </w:tcMar>
            <w:vAlign w:val="center"/>
          </w:tcPr>
          <w:p>
            <w:pPr>
              <w:spacing w:after="0"/>
              <w:jc w:val="left"/>
            </w:pPr>
            <w:r>
              <w:rPr>
                <w:rFonts w:ascii="Times New Roman" w:hAnsi="Times New Roman" w:eastAsia="Times New Roman"/>
                <w:sz w:val="18"/>
              </w:rPr>
              <w:t>Circuit widths</w:t>
            </w:r>
          </w:p>
        </w:tc>
        <w:tc>
          <w:tcPr>
            <w:tcW w:type="dxa" w:w="6973"/>
            <w:tcMar>
              <w:top w:w="85" w:type="dxa"/>
              <w:start w:w="95" w:type="dxa"/>
              <w:bottom w:w="85" w:type="dxa"/>
              <w:end w:w="95" w:type="dxa"/>
            </w:tcMar>
            <w:vAlign w:val="center"/>
          </w:tcPr>
          <w:p>
            <w:pPr>
              <w:spacing w:after="0"/>
              <w:jc w:val="left"/>
            </w:pPr>
            <w:r>
              <w:rPr>
                <w:rFonts w:ascii="Times New Roman" w:hAnsi="Times New Roman" w:eastAsia="Times New Roman"/>
                <w:sz w:val="18"/>
              </w:rPr>
              <w:t>Small 4-8; medium 9-20; larger 21+ only if runtime permits</w:t>
            </w:r>
          </w:p>
        </w:tc>
      </w:tr>
      <w:tr>
        <w:tc>
          <w:tcPr>
            <w:tcW w:type="dxa" w:w="2268"/>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Topology families</w:t>
            </w:r>
          </w:p>
        </w:tc>
        <w:tc>
          <w:tcPr>
            <w:tcW w:type="dxa" w:w="6973"/>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Path, grid, heavy-hex-like, irregular sparse, and at least one held-out family</w:t>
            </w:r>
          </w:p>
        </w:tc>
      </w:tr>
      <w:tr>
        <w:tc>
          <w:tcPr>
            <w:tcW w:type="dxa" w:w="2268"/>
            <w:tcMar>
              <w:top w:w="85" w:type="dxa"/>
              <w:start w:w="95" w:type="dxa"/>
              <w:bottom w:w="85" w:type="dxa"/>
              <w:end w:w="95" w:type="dxa"/>
            </w:tcMar>
            <w:vAlign w:val="center"/>
          </w:tcPr>
          <w:p>
            <w:pPr>
              <w:spacing w:after="0"/>
              <w:jc w:val="left"/>
            </w:pPr>
            <w:r>
              <w:rPr>
                <w:rFonts w:ascii="Times New Roman" w:hAnsi="Times New Roman" w:eastAsia="Times New Roman"/>
                <w:sz w:val="18"/>
              </w:rPr>
              <w:t>Seeds</w:t>
            </w:r>
          </w:p>
        </w:tc>
        <w:tc>
          <w:tcPr>
            <w:tcW w:type="dxa" w:w="6973"/>
            <w:tcMar>
              <w:top w:w="85" w:type="dxa"/>
              <w:start w:w="95" w:type="dxa"/>
              <w:bottom w:w="85" w:type="dxa"/>
              <w:end w:w="95" w:type="dxa"/>
            </w:tcMar>
            <w:vAlign w:val="center"/>
          </w:tcPr>
          <w:p>
            <w:pPr>
              <w:spacing w:after="0"/>
              <w:jc w:val="left"/>
            </w:pPr>
            <w:r>
              <w:rPr>
                <w:rFonts w:ascii="Times New Roman" w:hAnsi="Times New Roman" w:eastAsia="Times New Roman"/>
                <w:sz w:val="18"/>
              </w:rPr>
              <w:t>At least 5; preferably 10 for stochastic methods</w:t>
            </w:r>
          </w:p>
        </w:tc>
      </w:tr>
      <w:tr>
        <w:tc>
          <w:tcPr>
            <w:tcW w:type="dxa" w:w="2268"/>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Timeout</w:t>
            </w:r>
          </w:p>
        </w:tc>
        <w:tc>
          <w:tcPr>
            <w:tcW w:type="dxa" w:w="6973"/>
            <w:shd w:fill="F8FAFC"/>
            <w:tcMar>
              <w:top w:w="85" w:type="dxa"/>
              <w:start w:w="95" w:type="dxa"/>
              <w:bottom w:w="85" w:type="dxa"/>
              <w:end w:w="95" w:type="dxa"/>
            </w:tcMar>
            <w:vAlign w:val="center"/>
          </w:tcPr>
          <w:p>
            <w:pPr>
              <w:spacing w:after="0"/>
              <w:jc w:val="left"/>
            </w:pPr>
            <w:r>
              <w:rPr>
                <w:rFonts w:ascii="Times New Roman" w:hAnsi="Times New Roman" w:eastAsia="Times New Roman"/>
                <w:sz w:val="18"/>
              </w:rPr>
              <w:t>One identical wall-clock limit per circuit-method pair</w:t>
            </w:r>
          </w:p>
        </w:tc>
      </w:tr>
      <w:tr>
        <w:tc>
          <w:tcPr>
            <w:tcW w:type="dxa" w:w="2268"/>
            <w:tcMar>
              <w:top w:w="85" w:type="dxa"/>
              <w:start w:w="95" w:type="dxa"/>
              <w:bottom w:w="85" w:type="dxa"/>
              <w:end w:w="95" w:type="dxa"/>
            </w:tcMar>
            <w:vAlign w:val="center"/>
          </w:tcPr>
          <w:p>
            <w:pPr>
              <w:spacing w:after="0"/>
              <w:jc w:val="left"/>
            </w:pPr>
            <w:r>
              <w:rPr>
                <w:rFonts w:ascii="Times New Roman" w:hAnsi="Times New Roman" w:eastAsia="Times New Roman"/>
                <w:sz w:val="18"/>
              </w:rPr>
              <w:t>Outputs</w:t>
            </w:r>
          </w:p>
        </w:tc>
        <w:tc>
          <w:tcPr>
            <w:tcW w:type="dxa" w:w="6973"/>
            <w:tcMar>
              <w:top w:w="85" w:type="dxa"/>
              <w:start w:w="95" w:type="dxa"/>
              <w:bottom w:w="85" w:type="dxa"/>
              <w:end w:w="95" w:type="dxa"/>
            </w:tcMar>
            <w:vAlign w:val="center"/>
          </w:tcPr>
          <w:p>
            <w:pPr>
              <w:spacing w:after="0"/>
              <w:jc w:val="left"/>
            </w:pPr>
            <w:r>
              <w:rPr>
                <w:rFonts w:ascii="Times New Roman" w:hAnsi="Times New Roman" w:eastAsia="Times New Roman"/>
                <w:sz w:val="18"/>
              </w:rPr>
              <w:t>Per-circuit metrics, aggregate distributions, pairwise deltas, failures, runtime, environment manifest</w:t>
            </w:r>
          </w:p>
        </w:tc>
      </w:tr>
    </w:tbl>
    <w:p>
      <w:pPr>
        <w:spacing w:after="0"/>
      </w:pPr>
    </w:p>
    <w:p>
      <w:pPr>
        <w:pStyle w:val="Heading1"/>
      </w:pPr>
      <w:r>
        <w:t>12 LaTeX Proof Integration</w:t>
      </w:r>
    </w:p>
    <w:p>
      <w:r>
        <w:rPr>
          <w:rFonts w:ascii="Times New Roman" w:hAnsi="Times New Roman" w:eastAsia="Times New Roman"/>
          <w:i w:val="0"/>
        </w:rPr>
        <w:t>The accompanying QWeave_Mathematical_Foundations.tex file contains theorem environments, assumptions, formal definitions, and complete proof sketches. Keep theorem labels stable and reference them from the implementation documentation. When a code change alters an assumption, update both the proof and its linked test in the same pull request.</w:t>
      </w:r>
    </w:p>
    <w:p>
      <w:pPr>
        <w:pStyle w:val="Heading1"/>
      </w:pPr>
      <w:r>
        <w:t>References and Primary Sources</w:t>
      </w:r>
    </w:p>
    <w:p>
      <w:pPr>
        <w:spacing w:after="60"/>
        <w:ind w:left="255" w:hanging="255"/>
      </w:pPr>
      <w:r>
        <w:rPr>
          <w:rFonts w:ascii="Times New Roman" w:hAnsi="Times New Roman" w:eastAsia="Times New Roman"/>
          <w:sz w:val="18"/>
        </w:rPr>
        <w:t>[R1] G. Li, Y. Ding, and Y. Xie, 'Tackling the Qubit Mapping Problem for NISQ-Era Quantum Devices,' ASPLOS, 2019. doi:10.1145/3297858.3304023.</w:t>
      </w:r>
    </w:p>
    <w:p>
      <w:pPr>
        <w:spacing w:after="60"/>
        <w:ind w:left="255" w:hanging="255"/>
      </w:pPr>
      <w:r>
        <w:rPr>
          <w:rFonts w:ascii="Times New Roman" w:hAnsi="Times New Roman" w:eastAsia="Times New Roman"/>
          <w:sz w:val="18"/>
        </w:rPr>
        <w:t>[R2] A. Cowtan et al., 'On the Qubit Routing Problem,' arXiv:1902.08091, 2019.</w:t>
      </w:r>
    </w:p>
    <w:p>
      <w:pPr>
        <w:spacing w:after="60"/>
        <w:ind w:left="255" w:hanging="255"/>
      </w:pPr>
      <w:r>
        <w:rPr>
          <w:rFonts w:ascii="Times New Roman" w:hAnsi="Times New Roman" w:eastAsia="Times New Roman"/>
          <w:sz w:val="18"/>
        </w:rPr>
        <w:t>[R3] J. Schulman et al., 'Proximal Policy Optimization Algorithms,' arXiv:1707.06347, 2017.</w:t>
      </w:r>
    </w:p>
    <w:p>
      <w:pPr>
        <w:spacing w:after="60"/>
        <w:ind w:left="255" w:hanging="255"/>
      </w:pPr>
      <w:r>
        <w:rPr>
          <w:rFonts w:ascii="Times New Roman" w:hAnsi="Times New Roman" w:eastAsia="Times New Roman"/>
          <w:sz w:val="18"/>
        </w:rPr>
        <w:t>[R4] J. Gilmer et al., 'Neural Message Passing for Quantum Chemistry,' ICML, 2017.</w:t>
      </w:r>
    </w:p>
    <w:p>
      <w:pPr>
        <w:spacing w:after="60"/>
        <w:ind w:left="255" w:hanging="255"/>
      </w:pPr>
      <w:r>
        <w:rPr>
          <w:rFonts w:ascii="Times New Roman" w:hAnsi="Times New Roman" w:eastAsia="Times New Roman"/>
          <w:sz w:val="18"/>
        </w:rPr>
        <w:t>[R5] A. Y. Ng, D. Harada, and S. Russell, 'Policy Invariance under Reward Transformations,' ICML, 1999.</w:t>
      </w:r>
    </w:p>
    <w:p>
      <w:pPr>
        <w:spacing w:after="60"/>
        <w:ind w:left="255" w:hanging="255"/>
      </w:pPr>
      <w:r>
        <w:rPr>
          <w:rFonts w:ascii="Times New Roman" w:hAnsi="Times New Roman" w:eastAsia="Times New Roman"/>
          <w:sz w:val="18"/>
        </w:rPr>
        <w:t>[R6] N. Quetschlich, L. Burgholzer, and R. Wille, 'MQT Bench,' Quantum, vol. 7, 1062, 2023. doi:10.22331/q-2023-07-20-1062.</w:t>
      </w:r>
    </w:p>
    <w:p>
      <w:pPr>
        <w:spacing w:after="60"/>
        <w:ind w:left="255" w:hanging="255"/>
      </w:pPr>
      <w:r>
        <w:rPr>
          <w:rFonts w:ascii="Times New Roman" w:hAnsi="Times New Roman" w:eastAsia="Times New Roman"/>
          <w:sz w:val="18"/>
        </w:rPr>
        <w:t>[R7] A. Li et al., 'QASMBench: A Low-level QASM Benchmark Suite for NISQ Evaluation and Simulation,' arXiv:2005.13018, 2020.</w:t>
      </w:r>
    </w:p>
    <w:p>
      <w:pPr>
        <w:spacing w:after="60"/>
        <w:ind w:left="255" w:hanging="255"/>
      </w:pPr>
      <w:r>
        <w:rPr>
          <w:rFonts w:ascii="Times New Roman" w:hAnsi="Times New Roman" w:eastAsia="Times New Roman"/>
          <w:sz w:val="18"/>
        </w:rPr>
        <w:t>[R8] IBM Quantum Documentation, 'Transpiler stages' and 'Transpiler API,' https://quantum.cloud.ibm.com/docs/en/guides/transpiler-stages (accessed 4 September 2026).</w:t>
      </w:r>
    </w:p>
    <w:p>
      <w:pPr>
        <w:spacing w:after="60"/>
        <w:ind w:left="255" w:hanging="255"/>
      </w:pPr>
      <w:r>
        <w:rPr>
          <w:rFonts w:ascii="Times New Roman" w:hAnsi="Times New Roman" w:eastAsia="Times New Roman"/>
          <w:sz w:val="18"/>
        </w:rPr>
        <w:t>[R9] PyTorch Geometric Documentation, 'Creating Message Passing Networks,' https://pytorch-geometric.readthedocs.io/en/latest/tutorial/create_gnn.html (accessed 4 September 2026).</w:t>
      </w:r>
    </w:p>
    <w:p>
      <w:pPr>
        <w:spacing w:after="60"/>
        <w:ind w:left="255" w:hanging="255"/>
      </w:pPr>
      <w:r>
        <w:rPr>
          <w:rFonts w:ascii="Times New Roman" w:hAnsi="Times New Roman" w:eastAsia="Times New Roman"/>
          <w:sz w:val="18"/>
        </w:rPr>
        <w:t>[R10] Gymnasium Documentation, 'Make your own custom environment,' https://gymnasium.farama.org/main/tutorials/environment_creation/ (accessed 4 September 2026).</w:t>
      </w:r>
    </w:p>
    <w:p>
      <w:pPr>
        <w:spacing w:after="60"/>
        <w:ind w:left="255" w:hanging="255"/>
      </w:pPr>
      <w:r>
        <w:rPr>
          <w:rFonts w:ascii="Times New Roman" w:hAnsi="Times New Roman" w:eastAsia="Times New Roman"/>
          <w:sz w:val="18"/>
        </w:rPr>
        <w:t>[R11] Google OR-Tools Documentation, 'Constraint Optimization and CP-SAT,' https://developers.google.com/optimization/cp/ (accessed 4 September 2026).</w:t>
      </w:r>
    </w:p>
    <w:sectPr w:rsidR="00FC693F" w:rsidRPr="0006063C" w:rsidSect="00034616">
      <w:headerReference w:type="default" r:id="rId9"/>
      <w:footerReference w:type="default" r:id="rId10"/>
      <w:pgSz w:w="11906" w:h="16838"/>
      <w:pgMar w:top="1134" w:right="1276" w:bottom="102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Times New Roman"/>
        <w:color w:val="505050"/>
        <w:sz w:val="17"/>
      </w:rPr>
      <w:t xml:space="preserve">Page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i/>
        <w:color w:val="505050"/>
        <w:sz w:val="17"/>
      </w:rPr>
      <w:t>QWeave  |  Architecture and Proofs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Times New Roman" w:hAnsi="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100" w:line="240" w:lineRule="auto"/>
      <w:ind w:left="369" w:right="19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QWeave Architecture Mathematical Foundations and Technology Stack</dc:title>
  <dc:subject/>
  <dc:creator>Shrivardhini N; Atharva Sheersh Pandey; Diptesh Das; Haridasu Sreedhar</dc:creator>
  <cp:keywords/>
  <dc:description>generated by python-docx</dc:description>
  <cp:lastModifiedBy/>
  <cp:revision>1</cp:revision>
  <dcterms:created xsi:type="dcterms:W3CDTF">2013-12-23T23:15:00Z</dcterms:created>
  <dcterms:modified xsi:type="dcterms:W3CDTF">2013-12-23T23:15:00Z</dcterms:modified>
  <cp:category/>
</cp:coreProperties>
</file>