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QWeave Complete Research and Publication Workflow</w:t>
      </w:r>
    </w:p>
    <w:p>
      <w:pPr>
        <w:spacing w:after="140"/>
        <w:jc w:val="center"/>
      </w:pPr>
      <w:r>
        <w:rPr>
          <w:rFonts w:ascii="Times New Roman" w:hAnsi="Times New Roman" w:eastAsia="Times New Roman"/>
          <w:i/>
          <w:sz w:val="23"/>
        </w:rPr>
        <w:t>Overall operating procedure for a proof-backed quantum compiler project</w:t>
      </w:r>
    </w:p>
    <w:p>
      <w:pPr>
        <w:spacing w:after="40"/>
        <w:jc w:val="center"/>
      </w:pPr>
      <w:r>
        <w:rPr>
          <w:rFonts w:ascii="Times New Roman" w:hAnsi="Times New Roman" w:eastAsia="Times New Roman"/>
          <w:sz w:val="18"/>
        </w:rPr>
        <w:t>Team: Shrivardhini N | Atharva Sheersh Pandey | Diptesh Das | Haridasu Sreedhar</w:t>
      </w:r>
    </w:p>
    <w:p>
      <w:pPr>
        <w:spacing w:after="180"/>
        <w:jc w:val="center"/>
      </w:pPr>
      <w:r>
        <w:rPr>
          <w:rFonts w:ascii="Times New Roman" w:hAnsi="Times New Roman" w:eastAsia="Times New Roman"/>
          <w:sz w:val="18"/>
        </w:rPr>
        <w:t>Guide: Prof. Bhuvaneswari M  |  Planning horizon: 21 days  |  Version: 1.0</w:t>
      </w:r>
    </w:p>
    <w:p>
      <w:pPr>
        <w:pStyle w:val="Heading1"/>
      </w:pPr>
      <w:r>
        <w:t>Purpose and Outcome</w:t>
      </w:r>
    </w:p>
    <w:p>
      <w:r>
        <w:rPr>
          <w:rFonts w:ascii="Times New Roman" w:hAnsi="Times New Roman" w:eastAsia="Times New Roman"/>
          <w:i w:val="0"/>
        </w:rPr>
        <w:t>This document is the shared operating manual for taking QWeave from a research idea to a reproducible compiler prototype and a submission-ready journal manuscript in 21 days. It describes the overall workflow rather than assigning work to individuals. The project succeeds only when the implementation, formal arguments, tests, experiments, and manuscript tell the same story.</w:t>
      </w:r>
    </w:p>
    <w:p>
      <w:r>
        <w:rPr>
          <w:rFonts w:ascii="Times New Roman" w:hAnsi="Times New Roman" w:eastAsia="Times New Roman"/>
          <w:i w:val="0"/>
        </w:rPr>
        <w:t>The central contribution should be framed as a proof-backed compiler pipeline that combines interaction-aware initial placement, a topology-aware masked GNN-PPO router, and depth-aware scheduling. The mathematical claims establish safety and correctness; the experimental claims establish performance. A learned router cannot honestly be claimed to be globally optimal.</w:t>
      </w:r>
    </w:p>
    <w:p>
      <w:pPr>
        <w:spacing w:before="80" w:after="40"/>
        <w:jc w:val="center"/>
      </w:pPr>
      <w:r>
        <w:drawing>
          <wp:inline xmlns:a="http://schemas.openxmlformats.org/drawingml/2006/main" xmlns:pic="http://schemas.openxmlformats.org/drawingml/2006/picture">
            <wp:extent cx="5715000" cy="3325091"/>
            <wp:docPr id="1" name="Picture 1" descr="Five-stage QWeave research workflow from formalisation through publication with evidence gates."/>
            <wp:cNvGraphicFramePr>
              <a:graphicFrameLocks noChangeAspect="1"/>
            </wp:cNvGraphicFramePr>
            <a:graphic>
              <a:graphicData uri="http://schemas.openxmlformats.org/drawingml/2006/picture">
                <pic:pic>
                  <pic:nvPicPr>
                    <pic:cNvPr id="0" name="overall_workflow.png"/>
                    <pic:cNvPicPr/>
                  </pic:nvPicPr>
                  <pic:blipFill>
                    <a:blip r:embed="rId11"/>
                    <a:stretch>
                      <a:fillRect/>
                    </a:stretch>
                  </pic:blipFill>
                  <pic:spPr>
                    <a:xfrm>
                      <a:off x="0" y="0"/>
                      <a:ext cx="5715000" cy="3325091"/>
                    </a:xfrm>
                    <a:prstGeom prst="rect"/>
                  </pic:spPr>
                </pic:pic>
              </a:graphicData>
            </a:graphic>
          </wp:inline>
        </w:drawing>
      </w:r>
    </w:p>
    <w:p>
      <w:pPr>
        <w:spacing w:after="140"/>
        <w:jc w:val="center"/>
      </w:pPr>
      <w:r>
        <w:rPr>
          <w:rFonts w:ascii="Times New Roman" w:hAnsi="Times New Roman" w:eastAsia="Times New Roman"/>
          <w:i/>
          <w:sz w:val="18"/>
        </w:rPr>
        <w:t>Figure 1. The five-stage workflow and the evidence gate required after each stage.</w:t>
      </w:r>
    </w:p>
    <w:p>
      <w:pPr>
        <w:pStyle w:val="Heading1"/>
      </w:pPr>
      <w:r>
        <w:t>1 Definition of Success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1814"/>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Dimension</w:t>
            </w:r>
          </w:p>
        </w:tc>
        <w:tc>
          <w:tcPr>
            <w:tcW w:type="dxa" w:w="3572"/>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Minimum acceptable result</w:t>
            </w:r>
          </w:p>
        </w:tc>
        <w:tc>
          <w:tcPr>
            <w:tcW w:type="dxa" w:w="3855"/>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Journal-strength target</w:t>
            </w:r>
          </w:p>
        </w:tc>
      </w:tr>
      <w:tr>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8"/>
              </w:rPr>
              <w:t>Compiler</w:t>
            </w:r>
          </w:p>
        </w:tc>
        <w:tc>
          <w:tcPr>
            <w:tcW w:type="dxa" w:w="3572"/>
            <w:tcMar>
              <w:top w:w="85" w:type="dxa"/>
              <w:start w:w="95" w:type="dxa"/>
              <w:bottom w:w="85" w:type="dxa"/>
              <w:end w:w="95" w:type="dxa"/>
            </w:tcMar>
            <w:vAlign w:val="center"/>
          </w:tcPr>
          <w:p>
            <w:pPr>
              <w:spacing w:after="0"/>
              <w:jc w:val="left"/>
            </w:pPr>
            <w:r>
              <w:rPr>
                <w:rFonts w:ascii="Times New Roman" w:hAnsi="Times New Roman" w:eastAsia="Times New Roman"/>
                <w:sz w:val="18"/>
              </w:rPr>
              <w:t>End-to-end legal output on all smoke tests</w:t>
            </w:r>
          </w:p>
        </w:tc>
        <w:tc>
          <w:tcPr>
            <w:tcW w:type="dxa" w:w="3855"/>
            <w:tcMar>
              <w:top w:w="85" w:type="dxa"/>
              <w:start w:w="95" w:type="dxa"/>
              <w:bottom w:w="85" w:type="dxa"/>
              <w:end w:w="95" w:type="dxa"/>
            </w:tcMar>
            <w:vAlign w:val="center"/>
          </w:tcPr>
          <w:p>
            <w:pPr>
              <w:spacing w:after="0"/>
              <w:jc w:val="left"/>
            </w:pPr>
            <w:r>
              <w:rPr>
                <w:rFonts w:ascii="Times New Roman" w:hAnsi="Times New Roman" w:eastAsia="Times New Roman"/>
                <w:sz w:val="18"/>
              </w:rPr>
              <w:t>Modular Qiskit passes with deterministic fallback and documented interfaces</w:t>
            </w:r>
          </w:p>
        </w:tc>
      </w:tr>
      <w:tr>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Mathematics</w:t>
            </w:r>
          </w:p>
        </w:tc>
        <w:tc>
          <w:tcPr>
            <w:tcW w:type="dxa" w:w="3572"/>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Correctness, legality, scheduler feasibility, fallback termination</w:t>
            </w:r>
          </w:p>
        </w:tc>
        <w:tc>
          <w:tcPr>
            <w:tcW w:type="dxa" w:w="3855"/>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Proofs linked to executable invariants and counterexample tests</w:t>
            </w:r>
          </w:p>
        </w:tc>
      </w:tr>
      <w:tr>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8"/>
              </w:rPr>
              <w:t>Performance</w:t>
            </w:r>
          </w:p>
        </w:tc>
        <w:tc>
          <w:tcPr>
            <w:tcW w:type="dxa" w:w="3572"/>
            <w:tcMar>
              <w:top w:w="85" w:type="dxa"/>
              <w:start w:w="95" w:type="dxa"/>
              <w:bottom w:w="85" w:type="dxa"/>
              <w:end w:w="95" w:type="dxa"/>
            </w:tcMar>
            <w:vAlign w:val="center"/>
          </w:tcPr>
          <w:p>
            <w:pPr>
              <w:spacing w:after="0"/>
              <w:jc w:val="left"/>
            </w:pPr>
            <w:r>
              <w:rPr>
                <w:rFonts w:ascii="Times New Roman" w:hAnsi="Times New Roman" w:eastAsia="Times New Roman"/>
                <w:sz w:val="18"/>
              </w:rPr>
              <w:t>Competitive with a reproducible SABRE baseline</w:t>
            </w:r>
          </w:p>
        </w:tc>
        <w:tc>
          <w:tcPr>
            <w:tcW w:type="dxa" w:w="3855"/>
            <w:tcMar>
              <w:top w:w="85" w:type="dxa"/>
              <w:start w:w="95" w:type="dxa"/>
              <w:bottom w:w="85" w:type="dxa"/>
              <w:end w:w="95" w:type="dxa"/>
            </w:tcMar>
            <w:vAlign w:val="center"/>
          </w:tcPr>
          <w:p>
            <w:pPr>
              <w:spacing w:after="0"/>
              <w:jc w:val="left"/>
            </w:pPr>
            <w:r>
              <w:rPr>
                <w:rFonts w:ascii="Times New Roman" w:hAnsi="Times New Roman" w:eastAsia="Times New Roman"/>
                <w:sz w:val="18"/>
              </w:rPr>
              <w:t>Statistically significant depth reduction on held-out circuits and topologies</w:t>
            </w:r>
          </w:p>
        </w:tc>
      </w:tr>
      <w:tr>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Evidence</w:t>
            </w:r>
          </w:p>
        </w:tc>
        <w:tc>
          <w:tcPr>
            <w:tcW w:type="dxa" w:w="3572"/>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At least five seeds and fixed test split</w:t>
            </w:r>
          </w:p>
        </w:tc>
        <w:tc>
          <w:tcPr>
            <w:tcW w:type="dxa" w:w="3855"/>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Ablations, confidence intervals, effect sizes, timeout reporting, complete artifact bundle</w:t>
            </w:r>
          </w:p>
        </w:tc>
      </w:tr>
      <w:tr>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8"/>
              </w:rPr>
              <w:t>Publication</w:t>
            </w:r>
          </w:p>
        </w:tc>
        <w:tc>
          <w:tcPr>
            <w:tcW w:type="dxa" w:w="3572"/>
            <w:tcMar>
              <w:top w:w="85" w:type="dxa"/>
              <w:start w:w="95" w:type="dxa"/>
              <w:bottom w:w="85" w:type="dxa"/>
              <w:end w:w="95" w:type="dxa"/>
            </w:tcMar>
            <w:vAlign w:val="center"/>
          </w:tcPr>
          <w:p>
            <w:pPr>
              <w:spacing w:after="0"/>
              <w:jc w:val="left"/>
            </w:pPr>
            <w:r>
              <w:rPr>
                <w:rFonts w:ascii="Times New Roman" w:hAnsi="Times New Roman" w:eastAsia="Times New Roman"/>
                <w:sz w:val="18"/>
              </w:rPr>
              <w:t>Complete manuscript and references</w:t>
            </w:r>
          </w:p>
        </w:tc>
        <w:tc>
          <w:tcPr>
            <w:tcW w:type="dxa" w:w="3855"/>
            <w:tcMar>
              <w:top w:w="85" w:type="dxa"/>
              <w:start w:w="95" w:type="dxa"/>
              <w:bottom w:w="85" w:type="dxa"/>
              <w:end w:w="95" w:type="dxa"/>
            </w:tcMar>
            <w:vAlign w:val="center"/>
          </w:tcPr>
          <w:p>
            <w:pPr>
              <w:spacing w:after="0"/>
              <w:jc w:val="left"/>
            </w:pPr>
            <w:r>
              <w:rPr>
                <w:rFonts w:ascii="Times New Roman" w:hAnsi="Times New Roman" w:eastAsia="Times New Roman"/>
                <w:sz w:val="18"/>
              </w:rPr>
              <w:t>Venue-aligned paper, anonymised package if required, data/code availability statement</w:t>
            </w:r>
          </w:p>
        </w:tc>
      </w:tr>
    </w:tbl>
    <w:p>
      <w:pPr>
        <w:spacing w:after="0"/>
      </w:pPr>
    </w:p>
    <w:p>
      <w:pPr>
        <w:pStyle w:val="Heading1"/>
      </w:pPr>
      <w:r>
        <w:t>2 Scope Freeze Before Coding</w:t>
      </w:r>
    </w:p>
    <w:p>
      <w:r>
        <w:rPr>
          <w:rFonts w:ascii="Times New Roman" w:hAnsi="Times New Roman" w:eastAsia="Times New Roman"/>
          <w:i w:val="0"/>
        </w:rPr>
        <w:t>Freeze the research question by the end of Day 1. Avoid adding noise-aware placement, pulse scheduling, multi-programming, error mitigation, or real-hardware execution unless the core pipeline is already stable. Those are extension studies, not prerequisites.</w:t>
      </w:r>
    </w:p>
    <w:p>
      <w:pPr>
        <w:pStyle w:val="ListBullet"/>
        <w:spacing w:after="60"/>
        <w:ind w:left="369" w:hanging="142"/>
      </w:pPr>
      <w:r>
        <w:t>Primary question: does the complete pipeline reduce scheduled two-qubit depth relative to matched routing baselines on held-out circuits?</w:t>
      </w:r>
    </w:p>
    <w:p>
      <w:pPr>
        <w:pStyle w:val="ListBullet"/>
        <w:spacing w:after="60"/>
        <w:ind w:left="369" w:hanging="142"/>
      </w:pPr>
      <w:r>
        <w:t>Secondary questions: which stage contributes the improvement; how well does the router generalise to unseen coupling graphs; what runtime is paid for the depth gain?</w:t>
      </w:r>
    </w:p>
    <w:p>
      <w:pPr>
        <w:pStyle w:val="ListBullet"/>
        <w:spacing w:after="60"/>
        <w:ind w:left="369" w:hanging="142"/>
      </w:pPr>
      <w:r>
        <w:t>Hard constraints: semantic equivalence, injective logical-to-physical mapping, connectivity-valid two-qubit gates, dependency preservation, and resource-safe scheduling.</w:t>
      </w:r>
    </w:p>
    <w:p>
      <w:pPr>
        <w:pStyle w:val="ListBullet"/>
        <w:spacing w:after="60"/>
        <w:ind w:left="369" w:hanging="142"/>
      </w:pPr>
      <w:r>
        <w:t>Primary metric: scheduled two-qubit depth after a common native decomposition. Secondary metrics: total depth, SWAP count, two-qubit count, duration, estimated success probability, compiler time, and failures/timeouts.</w:t>
      </w:r>
    </w:p>
    <w:p>
      <w:pPr>
        <w:pStyle w:val="ListBullet"/>
        <w:spacing w:after="60"/>
        <w:ind w:left="369" w:hanging="142"/>
      </w:pPr>
      <w:r>
        <w:t>Baselines: identity/random layout, the project heuristic without learning, Qiskit SABRE with fixed seeds, and an exact or CP-SAT oracle on small instances where tractable.</w:t>
      </w:r>
    </w:p>
    <w:p>
      <w:pPr>
        <w:pStyle w:val="Heading2"/>
      </w:pPr>
      <w:r>
        <w:t>2.1 The Publishable Claim</w:t>
      </w:r>
    </w:p>
    <w:p>
      <w:r>
        <w:rPr>
          <w:rFonts w:ascii="Times New Roman" w:hAnsi="Times New Roman" w:eastAsia="Times New Roman"/>
          <w:i w:val="0"/>
        </w:rPr>
        <w:t>A defensible claim is: QWeave provides a safe, modular routing architecture in which action masking and a deterministic fallback guarantee legal progress, while a depth-aligned learned policy improves median scheduled depth on the stated evaluation distribution. The words 'guarantee' apply only to the proved safety properties. The words 'improves' and 'generalises' require held-out experimental evidence.</w:t>
      </w:r>
    </w:p>
    <w:p>
      <w:pPr>
        <w:pStyle w:val="Heading1"/>
      </w:pPr>
      <w:r>
        <w:t>3 End-to-End Engineering Workflow</w:t>
      </w:r>
    </w:p>
    <w:p>
      <w:pPr>
        <w:pStyle w:val="Heading2"/>
      </w:pPr>
      <w:r>
        <w:t>3.1 Repository and environment</w:t>
      </w:r>
    </w:p>
    <w:p>
      <w:r>
        <w:rPr>
          <w:rFonts w:ascii="Times New Roman" w:hAnsi="Times New Roman" w:eastAsia="Times New Roman"/>
          <w:i w:val="0"/>
        </w:rPr>
        <w:t>Create a src-layout Python package; pin the environment after a one-day compatibility spike; enable CI for lint, unit tests, and a small end-to-end compilation.</w:t>
      </w:r>
    </w:p>
    <w:p>
      <w:r>
        <w:rPr>
          <w:rFonts w:ascii="Times New Roman" w:hAnsi="Times New Roman" w:eastAsia="Times New Roman"/>
          <w:i w:val="0"/>
        </w:rPr>
        <w:t>Keep configs, raw results, processed tables, figures, and manuscript sources in separate directories. Every figure must be regenerable from a committed script and immutable result file.</w:t>
      </w:r>
    </w:p>
    <w:p>
      <w:pPr>
        <w:pStyle w:val="Heading2"/>
      </w:pPr>
      <w:r>
        <w:t>3.2 Circuit intake and normalisation</w:t>
      </w:r>
    </w:p>
    <w:p>
      <w:r>
        <w:rPr>
          <w:rFonts w:ascii="Times New Roman" w:hAnsi="Times New Roman" w:eastAsia="Times New Roman"/>
          <w:i w:val="0"/>
        </w:rPr>
        <w:t>Accept OpenQASM 2/3 or Qiskit QuantumCircuit input. Decompose consistently to a declared logical gate set, remove measurements during optimisation if appropriate, retain classical dependencies, and construct a DAG.</w:t>
      </w:r>
    </w:p>
    <w:p>
      <w:r>
        <w:rPr>
          <w:rFonts w:ascii="Times New Roman" w:hAnsi="Times New Roman" w:eastAsia="Times New Roman"/>
          <w:i w:val="0"/>
        </w:rPr>
        <w:t>Reject circuits wider than the device. Record logical width, original depth, two-qubit count, and circuit family before any optimisation.</w:t>
      </w:r>
    </w:p>
    <w:p>
      <w:pPr>
        <w:pStyle w:val="Heading2"/>
      </w:pPr>
      <w:r>
        <w:t>3.3 Hardware-model adapter</w:t>
      </w:r>
    </w:p>
    <w:p>
      <w:r>
        <w:rPr>
          <w:rFonts w:ascii="Times New Roman" w:hAnsi="Times New Roman" w:eastAsia="Times New Roman"/>
          <w:i w:val="0"/>
        </w:rPr>
        <w:t>Represent the device with Qiskit's Target and a canonical internal graph. Store directed connectivity, supported instructions, duration, and optional error. Use the same snapshot for every method in a comparison.</w:t>
      </w:r>
    </w:p>
    <w:p>
      <w:r>
        <w:rPr>
          <w:rFonts w:ascii="Times New Roman" w:hAnsi="Times New Roman" w:eastAsia="Times New Roman"/>
          <w:i w:val="0"/>
        </w:rPr>
        <w:t>Unit-test directionality, disconnected graphs, isolated qubits, missing durations, and symmetric/undirected simplifications.</w:t>
      </w:r>
    </w:p>
    <w:p>
      <w:pPr>
        <w:pStyle w:val="Heading2"/>
      </w:pPr>
      <w:r>
        <w:t>3.4 Heuristic initial mapping</w:t>
      </w:r>
    </w:p>
    <w:p>
      <w:r>
        <w:rPr>
          <w:rFonts w:ascii="Times New Roman" w:hAnsi="Times New Roman" w:eastAsia="Times New Roman"/>
          <w:i w:val="0"/>
        </w:rPr>
        <w:t>Build a weighted logical-interaction graph using frequency, temporal proximity, and criticality. Seed physical placement from device centrality and interaction pressure; improve it with strictly accepted pair swaps.</w:t>
      </w:r>
    </w:p>
    <w:p>
      <w:r>
        <w:rPr>
          <w:rFonts w:ascii="Times New Roman" w:hAnsi="Times New Roman" w:eastAsia="Times New Roman"/>
          <w:i w:val="0"/>
        </w:rPr>
        <w:t>Return the mapping, objective value, iteration trace, and deterministic seed. Verify injectivity after every accepted move.</w:t>
      </w:r>
    </w:p>
    <w:p>
      <w:pPr>
        <w:pStyle w:val="Heading2"/>
      </w:pPr>
      <w:r>
        <w:t>3.5 Routing environment</w:t>
      </w:r>
    </w:p>
    <w:p>
      <w:r>
        <w:rPr>
          <w:rFonts w:ascii="Times New Roman" w:hAnsi="Times New Roman" w:eastAsia="Times New Roman"/>
          <w:i w:val="0"/>
        </w:rPr>
        <w:t>The state contains the current mapping, executable frontier, look-ahead gates, device node/edge attributes, and occupancy. Candidate actions are coupling edges representing SWAPs plus EXECUTE when a frontier gate is legal.</w:t>
      </w:r>
    </w:p>
    <w:p>
      <w:r>
        <w:rPr>
          <w:rFonts w:ascii="Times New Roman" w:hAnsi="Times New Roman" w:eastAsia="Times New Roman"/>
          <w:i w:val="0"/>
        </w:rPr>
        <w:t>An action mask removes illegal actions before sampling. A progress watchdog hands control to a deterministic shortest-path fallback if the policy cycles or stalls.</w:t>
      </w:r>
    </w:p>
    <w:p>
      <w:pPr>
        <w:pStyle w:val="Heading2"/>
      </w:pPr>
      <w:r>
        <w:t>3.6 GNN-PPO policy</w:t>
      </w:r>
    </w:p>
    <w:p>
      <w:r>
        <w:rPr>
          <w:rFonts w:ascii="Times New Roman" w:hAnsi="Times New Roman" w:eastAsia="Times New Roman"/>
          <w:i w:val="0"/>
        </w:rPr>
        <w:t>Encode the hardware graph with message passing; pool circuit-frontier context; score device-edge actions; train actor and critic with PPO. Begin with small circuits and regular graphs, then widen the curriculum.</w:t>
      </w:r>
    </w:p>
    <w:p>
      <w:r>
        <w:rPr>
          <w:rFonts w:ascii="Times New Roman" w:hAnsi="Times New Roman" w:eastAsia="Times New Roman"/>
          <w:i w:val="0"/>
        </w:rPr>
        <w:t>Log every reward component, entropy, KL estimate, clipping fraction, episode length, invalid-action count, fallback rate, and evaluation depth.</w:t>
      </w:r>
    </w:p>
    <w:p>
      <w:pPr>
        <w:pStyle w:val="Heading2"/>
      </w:pPr>
      <w:r>
        <w:t>3.7 Depth-aware scheduling</w:t>
      </w:r>
    </w:p>
    <w:p>
      <w:r>
        <w:rPr>
          <w:rFonts w:ascii="Times New Roman" w:hAnsi="Times New Roman" w:eastAsia="Times New Roman"/>
          <w:i w:val="0"/>
        </w:rPr>
        <w:t>Construct the routed dependency DAG, compute reverse critical-path ranks with gate durations, and schedule ready operations at the earliest resource-feasible time. Include single-qubit gates and any direction-correction gates.</w:t>
      </w:r>
    </w:p>
    <w:p>
      <w:r>
        <w:rPr>
          <w:rFonts w:ascii="Times New Roman" w:hAnsi="Times New Roman" w:eastAsia="Times New Roman"/>
          <w:i w:val="0"/>
        </w:rPr>
        <w:t>Produce both an ordered circuit and a timing table. Recheck dependencies, qubit overlap, target timing constraints, and final makespan.</w:t>
      </w:r>
    </w:p>
    <w:p>
      <w:pPr>
        <w:pStyle w:val="Heading2"/>
      </w:pPr>
      <w:r>
        <w:t>3.8 Validation</w:t>
      </w:r>
    </w:p>
    <w:p>
      <w:r>
        <w:rPr>
          <w:rFonts w:ascii="Times New Roman" w:hAnsi="Times New Roman" w:eastAsia="Times New Roman"/>
          <w:i w:val="0"/>
        </w:rPr>
        <w:t>Run structural legality checks on every output. For small circuits, compare statevectors or unitaries up to global phase and the declared final permutation. Use metamorphic tests: compile equivalent circuit rewrites and compare results.</w:t>
      </w:r>
    </w:p>
    <w:p>
      <w:r>
        <w:rPr>
          <w:rFonts w:ascii="Times New Roman" w:hAnsi="Times New Roman" w:eastAsia="Times New Roman"/>
          <w:i w:val="0"/>
        </w:rPr>
        <w:t>No benchmark result is admitted unless the output passes validation. Failure counts remain visible rather than being silently dropped.</w:t>
      </w:r>
    </w:p>
    <w:p>
      <w:pPr>
        <w:pStyle w:val="Heading1"/>
      </w:pPr>
      <w:r>
        <w:t>4 Mathematical Workflow</w:t>
      </w:r>
    </w:p>
    <w:p>
      <w:r>
        <w:rPr>
          <w:rFonts w:ascii="Times New Roman" w:hAnsi="Times New Roman" w:eastAsia="Times New Roman"/>
          <w:i w:val="0"/>
        </w:rPr>
        <w:t>Write the formal model before writing the proof. Each implementation object must have an explicit mathematical counterpart: circuit DAG, hardware graph, mapping, action, scheduled operation, and final permutation.</w:t>
      </w:r>
    </w:p>
    <w:p>
      <w:pPr>
        <w:pStyle w:val="ListNumber"/>
        <w:spacing w:after="80"/>
      </w:pPr>
      <w:r>
        <w:t>State the assumptions: finite circuit; connected hardware component containing enough physical qubits; finite positive gate durations; deterministic legality guard; and a fallback that routes along shortest paths.</w:t>
      </w:r>
    </w:p>
    <w:p>
      <w:pPr>
        <w:pStyle w:val="ListNumber"/>
        <w:spacing w:after="80"/>
      </w:pPr>
      <w:r>
        <w:t>Define invariants and attach each one to an assertion in code. Examples: mapping injectivity, action legality, monotone frontier progress under fallback, dependency preservation, and non-overlapping resource intervals.</w:t>
      </w:r>
    </w:p>
    <w:p>
      <w:pPr>
        <w:pStyle w:val="ListNumber"/>
        <w:spacing w:after="80"/>
      </w:pPr>
      <w:r>
        <w:t>Prove local lemmas first: a SWAP preserves injectivity; a masked policy has zero probability on illegal actions; an accepted local-search move reduces the mapping objective.</w:t>
      </w:r>
    </w:p>
    <w:p>
      <w:pPr>
        <w:pStyle w:val="ListNumber"/>
        <w:spacing w:after="80"/>
      </w:pPr>
      <w:r>
        <w:t>Compose the lemmas into end-to-end theorems: hardware legality, semantic equivalence up to final permutation, schedule feasibility, and termination with fallback.</w:t>
      </w:r>
    </w:p>
    <w:p>
      <w:pPr>
        <w:pStyle w:val="ListNumber"/>
        <w:spacing w:after="80"/>
      </w:pPr>
      <w:r>
        <w:t>Treat performance separately. Report lower bounds and objective alignment, but use experiments—not proof language—to establish reduced depth.</w:t>
      </w:r>
    </w:p>
    <w:p>
      <w:pPr>
        <w:pStyle w:val="ListNumber"/>
        <w:spacing w:after="80"/>
      </w:pPr>
      <w:r>
        <w:t>Review every theorem against the implementation. If the code violates an assumption, either fix the code or weaken the theorem.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2268"/>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Proof obligation</w:t>
            </w:r>
          </w:p>
        </w:tc>
        <w:tc>
          <w:tcPr>
            <w:tcW w:type="dxa" w:w="3061"/>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Evidence in code</w:t>
            </w:r>
          </w:p>
        </w:tc>
        <w:tc>
          <w:tcPr>
            <w:tcW w:type="dxa" w:w="3912"/>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Counterexample test</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Mapping remains injective</w:t>
            </w:r>
          </w:p>
        </w:tc>
        <w:tc>
          <w:tcPr>
            <w:tcW w:type="dxa" w:w="3061"/>
            <w:tcMar>
              <w:top w:w="85" w:type="dxa"/>
              <w:start w:w="95" w:type="dxa"/>
              <w:bottom w:w="85" w:type="dxa"/>
              <w:end w:w="95" w:type="dxa"/>
            </w:tcMar>
            <w:vAlign w:val="center"/>
          </w:tcPr>
          <w:p>
            <w:pPr>
              <w:spacing w:after="0"/>
              <w:jc w:val="left"/>
            </w:pPr>
            <w:r>
              <w:rPr>
                <w:rFonts w:ascii="Times New Roman" w:hAnsi="Times New Roman" w:eastAsia="Times New Roman"/>
                <w:sz w:val="18"/>
              </w:rPr>
              <w:t>Permutation update and assertion</w:t>
            </w:r>
          </w:p>
        </w:tc>
        <w:tc>
          <w:tcPr>
            <w:tcW w:type="dxa" w:w="3912"/>
            <w:tcMar>
              <w:top w:w="85" w:type="dxa"/>
              <w:start w:w="95" w:type="dxa"/>
              <w:bottom w:w="85" w:type="dxa"/>
              <w:end w:w="95" w:type="dxa"/>
            </w:tcMar>
            <w:vAlign w:val="center"/>
          </w:tcPr>
          <w:p>
            <w:pPr>
              <w:spacing w:after="0"/>
              <w:jc w:val="left"/>
            </w:pPr>
            <w:r>
              <w:rPr>
                <w:rFonts w:ascii="Times New Roman" w:hAnsi="Times New Roman" w:eastAsia="Times New Roman"/>
                <w:sz w:val="18"/>
              </w:rPr>
              <w:t>Repeated physical qubit in a mapping</w:t>
            </w:r>
          </w:p>
        </w:tc>
      </w:tr>
      <w:tr>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Only legal two-qubit gates execute</w:t>
            </w:r>
          </w:p>
        </w:tc>
        <w:tc>
          <w:tcPr>
            <w:tcW w:type="dxa" w:w="3061"/>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Target edge guard and action mask</w:t>
            </w:r>
          </w:p>
        </w:tc>
        <w:tc>
          <w:tcPr>
            <w:tcW w:type="dxa" w:w="3912"/>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Directionally unsupported edge</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Fallback terminates</w:t>
            </w:r>
          </w:p>
        </w:tc>
        <w:tc>
          <w:tcPr>
            <w:tcW w:type="dxa" w:w="3061"/>
            <w:tcMar>
              <w:top w:w="85" w:type="dxa"/>
              <w:start w:w="95" w:type="dxa"/>
              <w:bottom w:w="85" w:type="dxa"/>
              <w:end w:w="95" w:type="dxa"/>
            </w:tcMar>
            <w:vAlign w:val="center"/>
          </w:tcPr>
          <w:p>
            <w:pPr>
              <w:spacing w:after="0"/>
              <w:jc w:val="left"/>
            </w:pPr>
            <w:r>
              <w:rPr>
                <w:rFonts w:ascii="Times New Roman" w:hAnsi="Times New Roman" w:eastAsia="Times New Roman"/>
                <w:sz w:val="18"/>
              </w:rPr>
              <w:t>Shortest-path distance decreases</w:t>
            </w:r>
          </w:p>
        </w:tc>
        <w:tc>
          <w:tcPr>
            <w:tcW w:type="dxa" w:w="3912"/>
            <w:tcMar>
              <w:top w:w="85" w:type="dxa"/>
              <w:start w:w="95" w:type="dxa"/>
              <w:bottom w:w="85" w:type="dxa"/>
              <w:end w:w="95" w:type="dxa"/>
            </w:tcMar>
            <w:vAlign w:val="center"/>
          </w:tcPr>
          <w:p>
            <w:pPr>
              <w:spacing w:after="0"/>
              <w:jc w:val="left"/>
            </w:pPr>
            <w:r>
              <w:rPr>
                <w:rFonts w:ascii="Times New Roman" w:hAnsi="Times New Roman" w:eastAsia="Times New Roman"/>
                <w:sz w:val="18"/>
              </w:rPr>
              <w:t>Disconnected device or stalled frontier</w:t>
            </w:r>
          </w:p>
        </w:tc>
      </w:tr>
      <w:tr>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Scheduling is feasible</w:t>
            </w:r>
          </w:p>
        </w:tc>
        <w:tc>
          <w:tcPr>
            <w:tcW w:type="dxa" w:w="3061"/>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Precedence and interval checks</w:t>
            </w:r>
          </w:p>
        </w:tc>
        <w:tc>
          <w:tcPr>
            <w:tcW w:type="dxa" w:w="3912"/>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Two gates overlap on one qubit</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Output is equivalent</w:t>
            </w:r>
          </w:p>
        </w:tc>
        <w:tc>
          <w:tcPr>
            <w:tcW w:type="dxa" w:w="3061"/>
            <w:tcMar>
              <w:top w:w="85" w:type="dxa"/>
              <w:start w:w="95" w:type="dxa"/>
              <w:bottom w:w="85" w:type="dxa"/>
              <w:end w:w="95" w:type="dxa"/>
            </w:tcMar>
            <w:vAlign w:val="center"/>
          </w:tcPr>
          <w:p>
            <w:pPr>
              <w:spacing w:after="0"/>
              <w:jc w:val="left"/>
            </w:pPr>
            <w:r>
              <w:rPr>
                <w:rFonts w:ascii="Times New Roman" w:hAnsi="Times New Roman" w:eastAsia="Times New Roman"/>
                <w:sz w:val="18"/>
              </w:rPr>
              <w:t>Final-layout-aware unitary/statevector check</w:t>
            </w:r>
          </w:p>
        </w:tc>
        <w:tc>
          <w:tcPr>
            <w:tcW w:type="dxa" w:w="3912"/>
            <w:tcMar>
              <w:top w:w="85" w:type="dxa"/>
              <w:start w:w="95" w:type="dxa"/>
              <w:bottom w:w="85" w:type="dxa"/>
              <w:end w:w="95" w:type="dxa"/>
            </w:tcMar>
            <w:vAlign w:val="center"/>
          </w:tcPr>
          <w:p>
            <w:pPr>
              <w:spacing w:after="0"/>
              <w:jc w:val="left"/>
            </w:pPr>
            <w:r>
              <w:rPr>
                <w:rFonts w:ascii="Times New Roman" w:hAnsi="Times New Roman" w:eastAsia="Times New Roman"/>
                <w:sz w:val="18"/>
              </w:rPr>
              <w:t>Omitted SWAP permutation</w:t>
            </w:r>
          </w:p>
        </w:tc>
      </w:tr>
    </w:tbl>
    <w:p>
      <w:pPr>
        <w:spacing w:after="0"/>
      </w:pPr>
    </w:p>
    <w:p>
      <w:pPr>
        <w:pStyle w:val="Heading1"/>
      </w:pPr>
      <w:r>
        <w:t>5 Experimental Protocol</w:t>
      </w:r>
    </w:p>
    <w:p>
      <w:pPr>
        <w:pStyle w:val="ListBullet"/>
        <w:spacing w:after="60"/>
        <w:ind w:left="369" w:hanging="142"/>
      </w:pPr>
      <w:r>
        <w:t>Dataset: choose a balanced subset from MQT Bench and QASMBench plus controlled synthetic interaction graphs. Stratify by width, depth, density, and circuit family [R6, R7].</w:t>
      </w:r>
    </w:p>
    <w:p>
      <w:pPr>
        <w:pStyle w:val="ListBullet"/>
        <w:spacing w:after="60"/>
        <w:ind w:left="369" w:hanging="142"/>
      </w:pPr>
      <w:r>
        <w:t>Split before tuning: circuit-family holdout and topology holdout. Do not let variants of the same circuit leak across training and test sets.</w:t>
      </w:r>
    </w:p>
    <w:p>
      <w:pPr>
        <w:pStyle w:val="ListBullet"/>
        <w:spacing w:after="60"/>
        <w:ind w:left="369" w:hanging="142"/>
      </w:pPr>
      <w:r>
        <w:t>Run policy and stochastic baselines with at least five fixed seeds; ten is preferable if runtime permits. Store per-circuit paired results.</w:t>
      </w:r>
    </w:p>
    <w:p>
      <w:pPr>
        <w:pStyle w:val="ListBullet"/>
        <w:spacing w:after="60"/>
        <w:ind w:left="369" w:hanging="142"/>
      </w:pPr>
      <w:r>
        <w:t>Use identical decomposition, target, timeout, and machine. Report environment and commit hashes.</w:t>
      </w:r>
    </w:p>
    <w:p>
      <w:pPr>
        <w:pStyle w:val="ListBullet"/>
        <w:spacing w:after="60"/>
        <w:ind w:left="369" w:hanging="142"/>
      </w:pPr>
      <w:r>
        <w:t>Analyse medians, interquartile ranges, bootstrap 95% confidence intervals, paired Wilcoxon signed-rank tests, effect sizes, and Holm correction for multiple comparisons.</w:t>
      </w:r>
    </w:p>
    <w:p>
      <w:pPr>
        <w:pStyle w:val="ListBullet"/>
        <w:spacing w:after="60"/>
        <w:ind w:left="369" w:hanging="142"/>
      </w:pPr>
      <w:r>
        <w:t>Report all timeouts and failures. A method that fails cannot be compared only on the easy subset it completes.</w:t>
      </w:r>
    </w:p>
    <w:p>
      <w:pPr>
        <w:pStyle w:val="Heading2"/>
      </w:pPr>
      <w:r>
        <w:t>5.1 Mandatory Ablations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2211"/>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Ablation</w:t>
            </w:r>
          </w:p>
        </w:tc>
        <w:tc>
          <w:tcPr>
            <w:tcW w:type="dxa" w:w="3402"/>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Question answered</w:t>
            </w:r>
          </w:p>
        </w:tc>
        <w:tc>
          <w:tcPr>
            <w:tcW w:type="dxa" w:w="3628"/>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Expected interpretation</w:t>
            </w:r>
          </w:p>
        </w:tc>
      </w:tr>
      <w:tr>
        <w:tc>
          <w:tcPr>
            <w:tcW w:type="dxa" w:w="2211"/>
            <w:tcMar>
              <w:top w:w="85" w:type="dxa"/>
              <w:start w:w="95" w:type="dxa"/>
              <w:bottom w:w="85" w:type="dxa"/>
              <w:end w:w="95" w:type="dxa"/>
            </w:tcMar>
            <w:vAlign w:val="center"/>
          </w:tcPr>
          <w:p>
            <w:pPr>
              <w:spacing w:after="0"/>
              <w:jc w:val="left"/>
            </w:pPr>
            <w:r>
              <w:rPr>
                <w:rFonts w:ascii="Times New Roman" w:hAnsi="Times New Roman" w:eastAsia="Times New Roman"/>
                <w:sz w:val="18"/>
              </w:rPr>
              <w:t>No learned router</w:t>
            </w:r>
          </w:p>
        </w:tc>
        <w:tc>
          <w:tcPr>
            <w:tcW w:type="dxa" w:w="3402"/>
            <w:tcMar>
              <w:top w:w="85" w:type="dxa"/>
              <w:start w:w="95" w:type="dxa"/>
              <w:bottom w:w="85" w:type="dxa"/>
              <w:end w:w="95" w:type="dxa"/>
            </w:tcMar>
            <w:vAlign w:val="center"/>
          </w:tcPr>
          <w:p>
            <w:pPr>
              <w:spacing w:after="0"/>
              <w:jc w:val="left"/>
            </w:pPr>
            <w:r>
              <w:rPr>
                <w:rFonts w:ascii="Times New Roman" w:hAnsi="Times New Roman" w:eastAsia="Times New Roman"/>
                <w:sz w:val="18"/>
              </w:rPr>
              <w:t>Does PPO add value beyond the heuristic/fallback?</w:t>
            </w:r>
          </w:p>
        </w:tc>
        <w:tc>
          <w:tcPr>
            <w:tcW w:type="dxa" w:w="3628"/>
            <w:tcMar>
              <w:top w:w="85" w:type="dxa"/>
              <w:start w:w="95" w:type="dxa"/>
              <w:bottom w:w="85" w:type="dxa"/>
              <w:end w:w="95" w:type="dxa"/>
            </w:tcMar>
            <w:vAlign w:val="center"/>
          </w:tcPr>
          <w:p>
            <w:pPr>
              <w:spacing w:after="0"/>
              <w:jc w:val="left"/>
            </w:pPr>
            <w:r>
              <w:rPr>
                <w:rFonts w:ascii="Times New Roman" w:hAnsi="Times New Roman" w:eastAsia="Times New Roman"/>
                <w:sz w:val="18"/>
              </w:rPr>
              <w:t>Isolates the learned decision rule</w:t>
            </w:r>
          </w:p>
        </w:tc>
      </w:tr>
      <w:tr>
        <w:tc>
          <w:tcPr>
            <w:tcW w:type="dxa" w:w="2211"/>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MLP instead of GNN</w:t>
            </w:r>
          </w:p>
        </w:tc>
        <w:tc>
          <w:tcPr>
            <w:tcW w:type="dxa" w:w="3402"/>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Does topology-aware message passing matter?</w:t>
            </w:r>
          </w:p>
        </w:tc>
        <w:tc>
          <w:tcPr>
            <w:tcW w:type="dxa" w:w="362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Tests the graph inductive bias</w:t>
            </w:r>
          </w:p>
        </w:tc>
      </w:tr>
      <w:tr>
        <w:tc>
          <w:tcPr>
            <w:tcW w:type="dxa" w:w="2211"/>
            <w:tcMar>
              <w:top w:w="85" w:type="dxa"/>
              <w:start w:w="95" w:type="dxa"/>
              <w:bottom w:w="85" w:type="dxa"/>
              <w:end w:w="95" w:type="dxa"/>
            </w:tcMar>
            <w:vAlign w:val="center"/>
          </w:tcPr>
          <w:p>
            <w:pPr>
              <w:spacing w:after="0"/>
              <w:jc w:val="left"/>
            </w:pPr>
            <w:r>
              <w:rPr>
                <w:rFonts w:ascii="Times New Roman" w:hAnsi="Times New Roman" w:eastAsia="Times New Roman"/>
                <w:sz w:val="18"/>
              </w:rPr>
              <w:t>No depth-aware rescheduling</w:t>
            </w:r>
          </w:p>
        </w:tc>
        <w:tc>
          <w:tcPr>
            <w:tcW w:type="dxa" w:w="3402"/>
            <w:tcMar>
              <w:top w:w="85" w:type="dxa"/>
              <w:start w:w="95" w:type="dxa"/>
              <w:bottom w:w="85" w:type="dxa"/>
              <w:end w:w="95" w:type="dxa"/>
            </w:tcMar>
            <w:vAlign w:val="center"/>
          </w:tcPr>
          <w:p>
            <w:pPr>
              <w:spacing w:after="0"/>
              <w:jc w:val="left"/>
            </w:pPr>
            <w:r>
              <w:rPr>
                <w:rFonts w:ascii="Times New Roman" w:hAnsi="Times New Roman" w:eastAsia="Times New Roman"/>
                <w:sz w:val="18"/>
              </w:rPr>
              <w:t>Does the scheduler create additional improvement?</w:t>
            </w:r>
          </w:p>
        </w:tc>
        <w:tc>
          <w:tcPr>
            <w:tcW w:type="dxa" w:w="3628"/>
            <w:tcMar>
              <w:top w:w="85" w:type="dxa"/>
              <w:start w:w="95" w:type="dxa"/>
              <w:bottom w:w="85" w:type="dxa"/>
              <w:end w:w="95" w:type="dxa"/>
            </w:tcMar>
            <w:vAlign w:val="center"/>
          </w:tcPr>
          <w:p>
            <w:pPr>
              <w:spacing w:after="0"/>
              <w:jc w:val="left"/>
            </w:pPr>
            <w:r>
              <w:rPr>
                <w:rFonts w:ascii="Times New Roman" w:hAnsi="Times New Roman" w:eastAsia="Times New Roman"/>
                <w:sz w:val="18"/>
              </w:rPr>
              <w:t>Separates routing from realised depth</w:t>
            </w:r>
          </w:p>
        </w:tc>
      </w:tr>
      <w:tr>
        <w:tc>
          <w:tcPr>
            <w:tcW w:type="dxa" w:w="2211"/>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No initial-map refinement</w:t>
            </w:r>
          </w:p>
        </w:tc>
        <w:tc>
          <w:tcPr>
            <w:tcW w:type="dxa" w:w="3402"/>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Does monotone local search reduce routing pressure?</w:t>
            </w:r>
          </w:p>
        </w:tc>
        <w:tc>
          <w:tcPr>
            <w:tcW w:type="dxa" w:w="362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Tests the initial placement stage</w:t>
            </w:r>
          </w:p>
        </w:tc>
      </w:tr>
      <w:tr>
        <w:tc>
          <w:tcPr>
            <w:tcW w:type="dxa" w:w="2211"/>
            <w:tcMar>
              <w:top w:w="85" w:type="dxa"/>
              <w:start w:w="95" w:type="dxa"/>
              <w:bottom w:w="85" w:type="dxa"/>
              <w:end w:w="95" w:type="dxa"/>
            </w:tcMar>
            <w:vAlign w:val="center"/>
          </w:tcPr>
          <w:p>
            <w:pPr>
              <w:spacing w:after="0"/>
              <w:jc w:val="left"/>
            </w:pPr>
            <w:r>
              <w:rPr>
                <w:rFonts w:ascii="Times New Roman" w:hAnsi="Times New Roman" w:eastAsia="Times New Roman"/>
                <w:sz w:val="18"/>
              </w:rPr>
              <w:t>No potential shaping</w:t>
            </w:r>
          </w:p>
        </w:tc>
        <w:tc>
          <w:tcPr>
            <w:tcW w:type="dxa" w:w="3402"/>
            <w:tcMar>
              <w:top w:w="85" w:type="dxa"/>
              <w:start w:w="95" w:type="dxa"/>
              <w:bottom w:w="85" w:type="dxa"/>
              <w:end w:w="95" w:type="dxa"/>
            </w:tcMar>
            <w:vAlign w:val="center"/>
          </w:tcPr>
          <w:p>
            <w:pPr>
              <w:spacing w:after="0"/>
              <w:jc w:val="left"/>
            </w:pPr>
            <w:r>
              <w:rPr>
                <w:rFonts w:ascii="Times New Roman" w:hAnsi="Times New Roman" w:eastAsia="Times New Roman"/>
                <w:sz w:val="18"/>
              </w:rPr>
              <w:t>Does shaped feedback improve learning without changing the intended optimum?</w:t>
            </w:r>
          </w:p>
        </w:tc>
        <w:tc>
          <w:tcPr>
            <w:tcW w:type="dxa" w:w="3628"/>
            <w:tcMar>
              <w:top w:w="85" w:type="dxa"/>
              <w:start w:w="95" w:type="dxa"/>
              <w:bottom w:w="85" w:type="dxa"/>
              <w:end w:w="95" w:type="dxa"/>
            </w:tcMar>
            <w:vAlign w:val="center"/>
          </w:tcPr>
          <w:p>
            <w:pPr>
              <w:spacing w:after="0"/>
              <w:jc w:val="left"/>
            </w:pPr>
            <w:r>
              <w:rPr>
                <w:rFonts w:ascii="Times New Roman" w:hAnsi="Times New Roman" w:eastAsia="Times New Roman"/>
                <w:sz w:val="18"/>
              </w:rPr>
              <w:t>Tests reward design and training stability</w:t>
            </w:r>
          </w:p>
        </w:tc>
      </w:tr>
    </w:tbl>
    <w:p>
      <w:pPr>
        <w:spacing w:after="0"/>
      </w:pPr>
    </w:p>
    <w:p>
      <w:pPr>
        <w:pStyle w:val="Heading1"/>
      </w:pPr>
      <w:r>
        <w:t>6 Three-Week Stage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1247"/>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Deadline</w:t>
            </w:r>
          </w:p>
        </w:tc>
        <w:tc>
          <w:tcPr>
            <w:tcW w:type="dxa" w:w="2268"/>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Gate</w:t>
            </w:r>
          </w:p>
        </w:tc>
        <w:tc>
          <w:tcPr>
            <w:tcW w:type="dxa" w:w="5726"/>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Required evidence</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8"/>
              </w:rPr>
              <w:t>Day 3</w:t>
            </w:r>
          </w:p>
        </w:tc>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Specification gate</w:t>
            </w:r>
          </w:p>
        </w:tc>
        <w:tc>
          <w:tcPr>
            <w:tcW w:type="dxa" w:w="5726"/>
            <w:tcMar>
              <w:top w:w="85" w:type="dxa"/>
              <w:start w:w="95" w:type="dxa"/>
              <w:bottom w:w="85" w:type="dxa"/>
              <w:end w:w="95" w:type="dxa"/>
            </w:tcMar>
            <w:vAlign w:val="center"/>
          </w:tcPr>
          <w:p>
            <w:pPr>
              <w:spacing w:after="0"/>
              <w:jc w:val="left"/>
            </w:pPr>
            <w:r>
              <w:rPr>
                <w:rFonts w:ascii="Times New Roman" w:hAnsi="Times New Roman" w:eastAsia="Times New Roman"/>
                <w:sz w:val="18"/>
              </w:rPr>
              <w:t>Frozen objective, splits, target graphs, baseline harness, theorem assumptions</w:t>
            </w:r>
          </w:p>
        </w:tc>
      </w:tr>
      <w:tr>
        <w:tc>
          <w:tcPr>
            <w:tcW w:type="dxa" w:w="1247"/>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Day 7</w:t>
            </w:r>
          </w:p>
        </w:tc>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Deterministic core gate</w:t>
            </w:r>
          </w:p>
        </w:tc>
        <w:tc>
          <w:tcPr>
            <w:tcW w:type="dxa" w:w="5726"/>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Heuristic mapper, fallback router, scheduler, validation on smoke suite</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8"/>
              </w:rPr>
              <w:t>Day 11</w:t>
            </w:r>
          </w:p>
        </w:tc>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Learning gate</w:t>
            </w:r>
          </w:p>
        </w:tc>
        <w:tc>
          <w:tcPr>
            <w:tcW w:type="dxa" w:w="5726"/>
            <w:tcMar>
              <w:top w:w="85" w:type="dxa"/>
              <w:start w:w="95" w:type="dxa"/>
              <w:bottom w:w="85" w:type="dxa"/>
              <w:end w:w="95" w:type="dxa"/>
            </w:tcMar>
            <w:vAlign w:val="center"/>
          </w:tcPr>
          <w:p>
            <w:pPr>
              <w:spacing w:after="0"/>
              <w:jc w:val="left"/>
            </w:pPr>
            <w:r>
              <w:rPr>
                <w:rFonts w:ascii="Times New Roman" w:hAnsi="Times New Roman" w:eastAsia="Times New Roman"/>
                <w:sz w:val="18"/>
              </w:rPr>
              <w:t>Gymnasium environment passes checker; masked GNN policy runs end to end</w:t>
            </w:r>
          </w:p>
        </w:tc>
      </w:tr>
      <w:tr>
        <w:tc>
          <w:tcPr>
            <w:tcW w:type="dxa" w:w="1247"/>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Day 14</w:t>
            </w:r>
          </w:p>
        </w:tc>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Training freeze</w:t>
            </w:r>
          </w:p>
        </w:tc>
        <w:tc>
          <w:tcPr>
            <w:tcW w:type="dxa" w:w="5726"/>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Chosen hyperparameters frozen; held-out set remains untouched</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8"/>
              </w:rPr>
              <w:t>Day 17</w:t>
            </w:r>
          </w:p>
        </w:tc>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Results freeze</w:t>
            </w:r>
          </w:p>
        </w:tc>
        <w:tc>
          <w:tcPr>
            <w:tcW w:type="dxa" w:w="5726"/>
            <w:tcMar>
              <w:top w:w="85" w:type="dxa"/>
              <w:start w:w="95" w:type="dxa"/>
              <w:bottom w:w="85" w:type="dxa"/>
              <w:end w:w="95" w:type="dxa"/>
            </w:tcMar>
            <w:vAlign w:val="center"/>
          </w:tcPr>
          <w:p>
            <w:pPr>
              <w:spacing w:after="0"/>
              <w:jc w:val="left"/>
            </w:pPr>
            <w:r>
              <w:rPr>
                <w:rFonts w:ascii="Times New Roman" w:hAnsi="Times New Roman" w:eastAsia="Times New Roman"/>
                <w:sz w:val="18"/>
              </w:rPr>
              <w:t>Baselines, ablations, seeds, tables, plots, failure report complete</w:t>
            </w:r>
          </w:p>
        </w:tc>
      </w:tr>
      <w:tr>
        <w:tc>
          <w:tcPr>
            <w:tcW w:type="dxa" w:w="1247"/>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Day 19</w:t>
            </w:r>
          </w:p>
        </w:tc>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Manuscript freeze</w:t>
            </w:r>
          </w:p>
        </w:tc>
        <w:tc>
          <w:tcPr>
            <w:tcW w:type="dxa" w:w="5726"/>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Proofs, methods, results, limitations, reproducibility statement complete</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8"/>
              </w:rPr>
              <w:t>Day 21</w:t>
            </w:r>
          </w:p>
        </w:tc>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Submission gate</w:t>
            </w:r>
          </w:p>
        </w:tc>
        <w:tc>
          <w:tcPr>
            <w:tcW w:type="dxa" w:w="5726"/>
            <w:tcMar>
              <w:top w:w="85" w:type="dxa"/>
              <w:start w:w="95" w:type="dxa"/>
              <w:bottom w:w="85" w:type="dxa"/>
              <w:end w:w="95" w:type="dxa"/>
            </w:tcMar>
            <w:vAlign w:val="center"/>
          </w:tcPr>
          <w:p>
            <w:pPr>
              <w:spacing w:after="0"/>
              <w:jc w:val="left"/>
            </w:pPr>
            <w:r>
              <w:rPr>
                <w:rFonts w:ascii="Times New Roman" w:hAnsi="Times New Roman" w:eastAsia="Times New Roman"/>
                <w:sz w:val="18"/>
              </w:rPr>
              <w:t>Repository tagged; artifact rebuild passes; venue checklist and files complete</w:t>
            </w:r>
          </w:p>
        </w:tc>
      </w:tr>
    </w:tbl>
    <w:p>
      <w:pPr>
        <w:spacing w:after="0"/>
      </w:pPr>
    </w:p>
    <w:p>
      <w:pPr>
        <w:pStyle w:val="Heading1"/>
      </w:pPr>
      <w:r>
        <w:t>7 Publication Workflow and Venue Strategy</w:t>
      </w:r>
    </w:p>
    <w:p>
      <w:r>
        <w:rPr>
          <w:rFonts w:ascii="Times New Roman" w:hAnsi="Times New Roman" w:eastAsia="Times New Roman"/>
          <w:i w:val="0"/>
        </w:rPr>
        <w:t>IEEE Transactions on Quantum Engineering is the most natural first-fit engineering venue because its stated scope includes quantum computation and software [R12]. Quantum Science and Technology is a stretch target: its scope includes quantum software and machine intelligence, but it explicitly describes itself as highly selective and expects broad, lasting impact [R13]. Journal quartiles change by database, category, and year; verify the current Scopus/SJR or JCR quartile immediately before submission and do not copy an old quartile claim into the cover letter.</w:t>
      </w:r>
    </w:p>
    <w:p>
      <w:r>
        <w:rPr>
          <w:rFonts w:ascii="Times New Roman" w:hAnsi="Times New Roman" w:eastAsia="Times New Roman"/>
          <w:i w:val="0"/>
        </w:rPr>
        <w:t>A submission in three weeks is plausible only if the result is already stable by Day 17. Acceptance is a later peer-review outcome and cannot be scheduled. If the full learned system is not convincingly better, submit a narrower proof-backed compiler methodology only after strengthening its novelty; do not conceal a negative result.</w:t>
      </w:r>
    </w:p>
    <w:p>
      <w:pPr>
        <w:pStyle w:val="ListNumber"/>
        <w:spacing w:after="80"/>
      </w:pPr>
      <w:r>
        <w:t>Choose one target journal and download its current template and author checklist.</w:t>
      </w:r>
    </w:p>
    <w:p>
      <w:pPr>
        <w:pStyle w:val="ListNumber"/>
        <w:spacing w:after="80"/>
      </w:pPr>
      <w:r>
        <w:t>Write the abstract around problem, method, formal guarantees, evaluation scale, quantitative result, and limitation.</w:t>
      </w:r>
    </w:p>
    <w:p>
      <w:pPr>
        <w:pStyle w:val="ListNumber"/>
        <w:spacing w:after="80"/>
      </w:pPr>
      <w:r>
        <w:t>Create an anonymous manuscript if double-anonymous review is selected; remove author metadata from PDF and repository links.</w:t>
      </w:r>
    </w:p>
    <w:p>
      <w:pPr>
        <w:pStyle w:val="ListNumber"/>
        <w:spacing w:after="80"/>
      </w:pPr>
      <w:r>
        <w:t>Prepare a cover letter stating novelty, strongest quantitative result, proof contribution, and why the paper fits the journal.</w:t>
      </w:r>
    </w:p>
    <w:p>
      <w:pPr>
        <w:pStyle w:val="ListNumber"/>
        <w:spacing w:after="80"/>
      </w:pPr>
      <w:r>
        <w:t>Archive code, configurations, circuit lists, raw results, processed tables, and a one-command reproduction path.</w:t>
      </w:r>
    </w:p>
    <w:p>
      <w:pPr>
        <w:pStyle w:val="ListNumber"/>
        <w:spacing w:after="80"/>
      </w:pPr>
      <w:r>
        <w:t>Perform plagiarism, citation, authorship, conflict-of-interest, and AI-use policy checks before submission.</w:t>
      </w:r>
    </w:p>
    <w:p>
      <w:pPr>
        <w:pStyle w:val="Heading1"/>
      </w:pPr>
      <w:r>
        <w:t>8 Definition of Done</w:t>
      </w:r>
    </w:p>
    <w:p>
      <w:pPr>
        <w:pStyle w:val="ListBullet"/>
        <w:spacing w:after="60"/>
        <w:ind w:left="369" w:hanging="142"/>
      </w:pPr>
      <w:r>
        <w:t>A clean environment can run the smoke suite and rebuild the main tables/figures from committed files.</w:t>
      </w:r>
    </w:p>
    <w:p>
      <w:pPr>
        <w:pStyle w:val="ListBullet"/>
        <w:spacing w:after="60"/>
        <w:ind w:left="369" w:hanging="142"/>
      </w:pPr>
      <w:r>
        <w:t>Every reported circuit result is linked to a configuration, seed, input hash, output validation status, and software commit.</w:t>
      </w:r>
    </w:p>
    <w:p>
      <w:pPr>
        <w:pStyle w:val="ListBullet"/>
        <w:spacing w:after="60"/>
        <w:ind w:left="369" w:hanging="142"/>
      </w:pPr>
      <w:r>
        <w:t>All proofs state assumptions and match code assertions; no theorem claims global depth optimality of PPO.</w:t>
      </w:r>
    </w:p>
    <w:p>
      <w:pPr>
        <w:pStyle w:val="ListBullet"/>
        <w:spacing w:after="60"/>
        <w:ind w:left="369" w:hanging="142"/>
      </w:pPr>
      <w:r>
        <w:t>All baselines use the same target, gate decomposition, seeds, timeout, and metric implementation.</w:t>
      </w:r>
    </w:p>
    <w:p>
      <w:pPr>
        <w:pStyle w:val="ListBullet"/>
        <w:spacing w:after="60"/>
        <w:ind w:left="369" w:hanging="142"/>
      </w:pPr>
      <w:r>
        <w:t>The repository, paper, supplementary material, authorship order, and venue requirements have been reviewed by all four authors and the guide.</w:t>
      </w:r>
    </w:p>
    <w:p>
      <w:pPr>
        <w:pStyle w:val="Heading1"/>
      </w:pPr>
      <w:r>
        <w:t>References and Primary Sources</w:t>
      </w:r>
    </w:p>
    <w:p>
      <w:pPr>
        <w:spacing w:after="60"/>
        <w:ind w:left="255" w:hanging="255"/>
      </w:pPr>
      <w:r>
        <w:rPr>
          <w:rFonts w:ascii="Times New Roman" w:hAnsi="Times New Roman" w:eastAsia="Times New Roman"/>
          <w:sz w:val="18"/>
        </w:rPr>
        <w:t>[R1] G. Li, Y. Ding, and Y. Xie, 'Tackling the Qubit Mapping Problem for NISQ-Era Quantum Devices,' ASPLOS, 2019. doi:10.1145/3297858.3304023.</w:t>
      </w:r>
    </w:p>
    <w:p>
      <w:pPr>
        <w:spacing w:after="60"/>
        <w:ind w:left="255" w:hanging="255"/>
      </w:pPr>
      <w:r>
        <w:rPr>
          <w:rFonts w:ascii="Times New Roman" w:hAnsi="Times New Roman" w:eastAsia="Times New Roman"/>
          <w:sz w:val="18"/>
        </w:rPr>
        <w:t>[R2] A. Cowtan et al., 'On the Qubit Routing Problem,' arXiv:1902.08091, 2019.</w:t>
      </w:r>
    </w:p>
    <w:p>
      <w:pPr>
        <w:spacing w:after="60"/>
        <w:ind w:left="255" w:hanging="255"/>
      </w:pPr>
      <w:r>
        <w:rPr>
          <w:rFonts w:ascii="Times New Roman" w:hAnsi="Times New Roman" w:eastAsia="Times New Roman"/>
          <w:sz w:val="18"/>
        </w:rPr>
        <w:t>[R3] J. Schulman et al., 'Proximal Policy Optimization Algorithms,' arXiv:1707.06347, 2017.</w:t>
      </w:r>
    </w:p>
    <w:p>
      <w:pPr>
        <w:spacing w:after="60"/>
        <w:ind w:left="255" w:hanging="255"/>
      </w:pPr>
      <w:r>
        <w:rPr>
          <w:rFonts w:ascii="Times New Roman" w:hAnsi="Times New Roman" w:eastAsia="Times New Roman"/>
          <w:sz w:val="18"/>
        </w:rPr>
        <w:t>[R4] J. Gilmer et al., 'Neural Message Passing for Quantum Chemistry,' ICML, 2017.</w:t>
      </w:r>
    </w:p>
    <w:p>
      <w:pPr>
        <w:spacing w:after="60"/>
        <w:ind w:left="255" w:hanging="255"/>
      </w:pPr>
      <w:r>
        <w:rPr>
          <w:rFonts w:ascii="Times New Roman" w:hAnsi="Times New Roman" w:eastAsia="Times New Roman"/>
          <w:sz w:val="18"/>
        </w:rPr>
        <w:t>[R5] A. Y. Ng, D. Harada, and S. Russell, 'Policy Invariance under Reward Transformations,' ICML, 1999.</w:t>
      </w:r>
    </w:p>
    <w:p>
      <w:pPr>
        <w:spacing w:after="60"/>
        <w:ind w:left="255" w:hanging="255"/>
      </w:pPr>
      <w:r>
        <w:rPr>
          <w:rFonts w:ascii="Times New Roman" w:hAnsi="Times New Roman" w:eastAsia="Times New Roman"/>
          <w:sz w:val="18"/>
        </w:rPr>
        <w:t>[R6] N. Quetschlich, L. Burgholzer, and R. Wille, 'MQT Bench,' Quantum, vol. 7, 1062, 2023. doi:10.22331/q-2023-07-20-1062.</w:t>
      </w:r>
    </w:p>
    <w:p>
      <w:pPr>
        <w:spacing w:after="60"/>
        <w:ind w:left="255" w:hanging="255"/>
      </w:pPr>
      <w:r>
        <w:rPr>
          <w:rFonts w:ascii="Times New Roman" w:hAnsi="Times New Roman" w:eastAsia="Times New Roman"/>
          <w:sz w:val="18"/>
        </w:rPr>
        <w:t>[R7] A. Li et al., 'QASMBench: A Low-level QASM Benchmark Suite for NISQ Evaluation and Simulation,' arXiv:2005.13018, 2020.</w:t>
      </w:r>
    </w:p>
    <w:p>
      <w:pPr>
        <w:spacing w:after="60"/>
        <w:ind w:left="255" w:hanging="255"/>
      </w:pPr>
      <w:r>
        <w:rPr>
          <w:rFonts w:ascii="Times New Roman" w:hAnsi="Times New Roman" w:eastAsia="Times New Roman"/>
          <w:sz w:val="18"/>
        </w:rPr>
        <w:t>[R8] IBM Quantum Documentation, 'Transpiler stages' and 'Transpiler API,' https://quantum.cloud.ibm.com/docs/en/guides/transpiler-stages (accessed 4 September 2026).</w:t>
      </w:r>
    </w:p>
    <w:p>
      <w:pPr>
        <w:spacing w:after="60"/>
        <w:ind w:left="255" w:hanging="255"/>
      </w:pPr>
      <w:r>
        <w:rPr>
          <w:rFonts w:ascii="Times New Roman" w:hAnsi="Times New Roman" w:eastAsia="Times New Roman"/>
          <w:sz w:val="18"/>
        </w:rPr>
        <w:t>[R9] PyTorch Geometric Documentation, 'Creating Message Passing Networks,' https://pytorch-geometric.readthedocs.io/en/latest/tutorial/create_gnn.html (accessed 4 September 2026).</w:t>
      </w:r>
    </w:p>
    <w:p>
      <w:pPr>
        <w:spacing w:after="60"/>
        <w:ind w:left="255" w:hanging="255"/>
      </w:pPr>
      <w:r>
        <w:rPr>
          <w:rFonts w:ascii="Times New Roman" w:hAnsi="Times New Roman" w:eastAsia="Times New Roman"/>
          <w:sz w:val="18"/>
        </w:rPr>
        <w:t>[R10] Gymnasium Documentation, 'Make your own custom environment,' https://gymnasium.farama.org/main/tutorials/environment_creation/ (accessed 4 September 2026).</w:t>
      </w:r>
    </w:p>
    <w:p>
      <w:pPr>
        <w:spacing w:after="60"/>
        <w:ind w:left="255" w:hanging="255"/>
      </w:pPr>
      <w:r>
        <w:rPr>
          <w:rFonts w:ascii="Times New Roman" w:hAnsi="Times New Roman" w:eastAsia="Times New Roman"/>
          <w:sz w:val="18"/>
        </w:rPr>
        <w:t>[R11] Google OR-Tools Documentation, 'Constraint Optimization and CP-SAT,' https://developers.google.com/optimization/cp/ (accessed 4 September 2026).</w:t>
      </w:r>
    </w:p>
    <w:p>
      <w:pPr>
        <w:spacing w:after="60"/>
        <w:ind w:left="255" w:hanging="255"/>
      </w:pPr>
      <w:r>
        <w:rPr>
          <w:rFonts w:ascii="Times New Roman" w:hAnsi="Times New Roman" w:eastAsia="Times New Roman"/>
          <w:sz w:val="18"/>
        </w:rPr>
        <w:t>[R12] IEEE Transactions on Quantum Engineering, 'Scope and Submission Process,' https://tqe.ieee.org/submission-process/ (accessed 4 September 2026).</w:t>
      </w:r>
    </w:p>
    <w:p>
      <w:pPr>
        <w:spacing w:after="60"/>
        <w:ind w:left="255" w:hanging="255"/>
      </w:pPr>
      <w:r>
        <w:rPr>
          <w:rFonts w:ascii="Times New Roman" w:hAnsi="Times New Roman" w:eastAsia="Times New Roman"/>
          <w:sz w:val="18"/>
        </w:rPr>
        <w:t>[R13] IOP Publishing, 'About Quantum Science and Technology,' https://publishingsupport.iopscience.iop.org/journals/quantum-science-technology/about-quantum-science-technology/ (accessed 4 September 2026).</w:t>
      </w:r>
    </w:p>
    <w:sectPr w:rsidR="00FC693F" w:rsidRPr="0006063C" w:rsidSect="00034616">
      <w:headerReference w:type="default" r:id="rId9"/>
      <w:footerReference w:type="default" r:id="rId10"/>
      <w:pgSz w:w="11906" w:h="16838"/>
      <w:pgMar w:top="1134" w:right="1276"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color w:val="505050"/>
        <w:sz w:val="17"/>
      </w:rPr>
      <w:t xml:space="preserve">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i/>
        <w:color w:val="505050"/>
        <w:sz w:val="17"/>
      </w:rPr>
      <w:t>QWeave  |  Research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00" w:line="240" w:lineRule="auto"/>
      <w:ind w:left="369" w:right="19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QWeave Complete Research and Publication Workflow</dc:title>
  <dc:subject/>
  <dc:creator>Shrivardhini N; Atharva Sheersh Pandey; Diptesh Das; Haridasu Sreedhar</dc:creator>
  <cp:keywords/>
  <dc:description>generated by python-docx</dc:description>
  <cp:lastModifiedBy/>
  <cp:revision>1</cp:revision>
  <dcterms:created xsi:type="dcterms:W3CDTF">2013-12-23T23:15:00Z</dcterms:created>
  <dcterms:modified xsi:type="dcterms:W3CDTF">2013-12-23T23:15:00Z</dcterms:modified>
  <cp:category/>
</cp:coreProperties>
</file>