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QWeave Three Week Team Execution Plan</w:t>
      </w:r>
    </w:p>
    <w:p>
      <w:pPr>
        <w:spacing w:after="140"/>
        <w:jc w:val="center"/>
      </w:pPr>
      <w:r>
        <w:rPr>
          <w:rFonts w:ascii="Times New Roman" w:hAnsi="Times New Roman" w:eastAsia="Times New Roman"/>
          <w:i/>
          <w:sz w:val="23"/>
        </w:rPr>
        <w:t>Four-person work division, integration rhythm, and submission gates</w:t>
      </w:r>
    </w:p>
    <w:p>
      <w:pPr>
        <w:spacing w:after="40"/>
        <w:jc w:val="center"/>
      </w:pPr>
      <w:r>
        <w:rPr>
          <w:rFonts w:ascii="Times New Roman" w:hAnsi="Times New Roman" w:eastAsia="Times New Roman"/>
          <w:sz w:val="18"/>
        </w:rPr>
        <w:t>Team: Shrivardhini N | Atharva Sheersh Pandey | Diptesh Das | Haridasu Sreedhar</w:t>
      </w:r>
    </w:p>
    <w:p>
      <w:pPr>
        <w:spacing w:after="180"/>
        <w:jc w:val="center"/>
      </w:pPr>
      <w:r>
        <w:rPr>
          <w:rFonts w:ascii="Times New Roman" w:hAnsi="Times New Roman" w:eastAsia="Times New Roman"/>
          <w:sz w:val="18"/>
        </w:rPr>
        <w:t>Guide: Prof. Bhuvaneswari M  |  Planning horizon: 21 days  |  Version: 1.0</w:t>
      </w:r>
    </w:p>
    <w:p>
      <w:pPr>
        <w:pStyle w:val="Heading1"/>
      </w:pPr>
      <w:r>
        <w:t>Operating Principle</w:t>
      </w:r>
    </w:p>
    <w:p>
      <w:r>
        <w:rPr>
          <w:rFonts w:ascii="Times New Roman" w:hAnsi="Times New Roman" w:eastAsia="Times New Roman"/>
          <w:i w:val="0"/>
        </w:rPr>
        <w:t>The team should work in parallel but integrate daily. Each workstream has one directly responsible owner and one reviewer. Proofs are not a separate writing exercise at the end: every formal invariant must be paired with an implementation assertion and test during development. The allocations below are a balanced starting point and may be swapped if skills differ.</w:t>
      </w:r>
    </w:p>
    <w:p>
      <w:pPr>
        <w:spacing w:before="80" w:after="40"/>
        <w:jc w:val="center"/>
      </w:pPr>
      <w:r>
        <w:drawing>
          <wp:inline xmlns:a="http://schemas.openxmlformats.org/drawingml/2006/main" xmlns:pic="http://schemas.openxmlformats.org/drawingml/2006/picture">
            <wp:extent cx="5715000" cy="3273136"/>
            <wp:docPr id="1" name="Picture 1" descr="Twenty-one-day Gantt-style timeline for QWeave workstreams."/>
            <wp:cNvGraphicFramePr>
              <a:graphicFrameLocks noChangeAspect="1"/>
            </wp:cNvGraphicFramePr>
            <a:graphic>
              <a:graphicData uri="http://schemas.openxmlformats.org/drawingml/2006/picture">
                <pic:pic>
                  <pic:nvPicPr>
                    <pic:cNvPr id="0" name="team_timeline.png"/>
                    <pic:cNvPicPr/>
                  </pic:nvPicPr>
                  <pic:blipFill>
                    <a:blip r:embed="rId11"/>
                    <a:stretch>
                      <a:fillRect/>
                    </a:stretch>
                  </pic:blipFill>
                  <pic:spPr>
                    <a:xfrm>
                      <a:off x="0" y="0"/>
                      <a:ext cx="5715000" cy="3273136"/>
                    </a:xfrm>
                    <a:prstGeom prst="rect"/>
                  </pic:spPr>
                </pic:pic>
              </a:graphicData>
            </a:graphic>
          </wp:inline>
        </w:drawing>
      </w:r>
    </w:p>
    <w:p>
      <w:pPr>
        <w:spacing w:after="140"/>
        <w:jc w:val="center"/>
      </w:pPr>
      <w:r>
        <w:rPr>
          <w:rFonts w:ascii="Times New Roman" w:hAnsi="Times New Roman" w:eastAsia="Times New Roman"/>
          <w:i/>
          <w:sz w:val="18"/>
        </w:rPr>
        <w:t>Figure 1. Twenty-one-day critical path. Workstreams overlap, but result and manuscript freezes are fixed.</w:t>
      </w:r>
    </w:p>
    <w:p>
      <w:pPr>
        <w:pStyle w:val="Heading1"/>
      </w:pPr>
      <w:r>
        <w:t>1 Role Allocation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38"/>
        <w:gridCol w:w="2338"/>
        <w:gridCol w:w="2338"/>
        <w:gridCol w:w="2338"/>
      </w:tblGrid>
      <w:tr>
        <w:trPr>
          <w:tblHeader w:val="true"/>
        </w:trPr>
        <w:tc>
          <w:tcPr>
            <w:tcW w:type="dxa" w:w="1928"/>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Person</w:t>
            </w:r>
          </w:p>
        </w:tc>
        <w:tc>
          <w:tcPr>
            <w:tcW w:type="dxa" w:w="2665"/>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Primary ownership</w:t>
            </w:r>
          </w:p>
        </w:tc>
        <w:tc>
          <w:tcPr>
            <w:tcW w:type="dxa" w:w="215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Secondary ownership</w:t>
            </w:r>
          </w:p>
        </w:tc>
        <w:tc>
          <w:tcPr>
            <w:tcW w:type="dxa" w:w="249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Final accountable outputs</w:t>
            </w:r>
          </w:p>
        </w:tc>
      </w:tr>
      <w:tr>
        <w:tc>
          <w:tcPr>
            <w:tcW w:type="dxa" w:w="1928"/>
            <w:tcMar>
              <w:top w:w="85" w:type="dxa"/>
              <w:start w:w="95" w:type="dxa"/>
              <w:bottom w:w="85" w:type="dxa"/>
              <w:end w:w="95" w:type="dxa"/>
            </w:tcMar>
            <w:vAlign w:val="center"/>
          </w:tcPr>
          <w:p>
            <w:pPr>
              <w:spacing w:after="0"/>
              <w:jc w:val="left"/>
            </w:pPr>
            <w:r>
              <w:rPr>
                <w:rFonts w:ascii="Times New Roman" w:hAnsi="Times New Roman" w:eastAsia="Times New Roman"/>
                <w:sz w:val="16"/>
              </w:rPr>
              <w:t>Atharva Sheersh Pandey</w:t>
            </w:r>
          </w:p>
        </w:tc>
        <w:tc>
          <w:tcPr>
            <w:tcW w:type="dxa" w:w="2665"/>
            <w:tcMar>
              <w:top w:w="85" w:type="dxa"/>
              <w:start w:w="95" w:type="dxa"/>
              <w:bottom w:w="85" w:type="dxa"/>
              <w:end w:w="95" w:type="dxa"/>
            </w:tcMar>
            <w:vAlign w:val="center"/>
          </w:tcPr>
          <w:p>
            <w:pPr>
              <w:spacing w:after="0"/>
              <w:jc w:val="left"/>
            </w:pPr>
            <w:r>
              <w:rPr>
                <w:rFonts w:ascii="Times New Roman" w:hAnsi="Times New Roman" w:eastAsia="Times New Roman"/>
                <w:sz w:val="16"/>
              </w:rPr>
              <w:t>Integration lead; Qiskit IR, target adapter, experiment harness</w:t>
            </w:r>
          </w:p>
        </w:tc>
        <w:tc>
          <w:tcPr>
            <w:tcW w:type="dxa" w:w="2154"/>
            <w:tcMar>
              <w:top w:w="85" w:type="dxa"/>
              <w:start w:w="95" w:type="dxa"/>
              <w:bottom w:w="85" w:type="dxa"/>
              <w:end w:w="95" w:type="dxa"/>
            </w:tcMar>
            <w:vAlign w:val="center"/>
          </w:tcPr>
          <w:p>
            <w:pPr>
              <w:spacing w:after="0"/>
              <w:jc w:val="left"/>
            </w:pPr>
            <w:r>
              <w:rPr>
                <w:rFonts w:ascii="Times New Roman" w:hAnsi="Times New Roman" w:eastAsia="Times New Roman"/>
                <w:sz w:val="16"/>
              </w:rPr>
              <w:t>Repository, CI, final artifact build</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6"/>
              </w:rPr>
              <w:t>End-to-end compiler command; immutable experiment records; release tag</w:t>
            </w:r>
          </w:p>
        </w:tc>
      </w:tr>
      <w:tr>
        <w:tc>
          <w:tcPr>
            <w:tcW w:type="dxa" w:w="1928"/>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Shrivardhini N</w:t>
            </w:r>
          </w:p>
        </w:tc>
        <w:tc>
          <w:tcPr>
            <w:tcW w:type="dxa" w:w="2665"/>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Mathematical lead; formal model, proofs, equivalence strategy</w:t>
            </w:r>
          </w:p>
        </w:tc>
        <w:tc>
          <w:tcPr>
            <w:tcW w:type="dxa" w:w="215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Paper methods and limitations</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LaTeX theorem section; proof-to-test matrix; correctness review</w:t>
            </w:r>
          </w:p>
        </w:tc>
      </w:tr>
      <w:tr>
        <w:tc>
          <w:tcPr>
            <w:tcW w:type="dxa" w:w="1928"/>
            <w:tcMar>
              <w:top w:w="85" w:type="dxa"/>
              <w:start w:w="95" w:type="dxa"/>
              <w:bottom w:w="85" w:type="dxa"/>
              <w:end w:w="95" w:type="dxa"/>
            </w:tcMar>
            <w:vAlign w:val="center"/>
          </w:tcPr>
          <w:p>
            <w:pPr>
              <w:spacing w:after="0"/>
              <w:jc w:val="left"/>
            </w:pPr>
            <w:r>
              <w:rPr>
                <w:rFonts w:ascii="Times New Roman" w:hAnsi="Times New Roman" w:eastAsia="Times New Roman"/>
                <w:sz w:val="16"/>
              </w:rPr>
              <w:t>Diptesh Das</w:t>
            </w:r>
          </w:p>
        </w:tc>
        <w:tc>
          <w:tcPr>
            <w:tcW w:type="dxa" w:w="2665"/>
            <w:tcMar>
              <w:top w:w="85" w:type="dxa"/>
              <w:start w:w="95" w:type="dxa"/>
              <w:bottom w:w="85" w:type="dxa"/>
              <w:end w:w="95" w:type="dxa"/>
            </w:tcMar>
            <w:vAlign w:val="center"/>
          </w:tcPr>
          <w:p>
            <w:pPr>
              <w:spacing w:after="0"/>
              <w:jc w:val="left"/>
            </w:pPr>
            <w:r>
              <w:rPr>
                <w:rFonts w:ascii="Times New Roman" w:hAnsi="Times New Roman" w:eastAsia="Times New Roman"/>
                <w:sz w:val="16"/>
              </w:rPr>
              <w:t>Deterministic optimisation lead; initial mapping, fallback router, baselines</w:t>
            </w:r>
          </w:p>
        </w:tc>
        <w:tc>
          <w:tcPr>
            <w:tcW w:type="dxa" w:w="2154"/>
            <w:tcMar>
              <w:top w:w="85" w:type="dxa"/>
              <w:start w:w="95" w:type="dxa"/>
              <w:bottom w:w="85" w:type="dxa"/>
              <w:end w:w="95" w:type="dxa"/>
            </w:tcMar>
            <w:vAlign w:val="center"/>
          </w:tcPr>
          <w:p>
            <w:pPr>
              <w:spacing w:after="0"/>
              <w:jc w:val="left"/>
            </w:pPr>
            <w:r>
              <w:rPr>
                <w:rFonts w:ascii="Times New Roman" w:hAnsi="Times New Roman" w:eastAsia="Times New Roman"/>
                <w:sz w:val="16"/>
              </w:rPr>
              <w:t>Small-instance CP-SAT oracle</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6"/>
              </w:rPr>
              <w:t>Mapper and fallback modules; SABRE/oracle comparisons; ablation outputs</w:t>
            </w:r>
          </w:p>
        </w:tc>
      </w:tr>
      <w:tr>
        <w:tc>
          <w:tcPr>
            <w:tcW w:type="dxa" w:w="1928"/>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Haridasu Sreedhar</w:t>
            </w:r>
          </w:p>
        </w:tc>
        <w:tc>
          <w:tcPr>
            <w:tcW w:type="dxa" w:w="2665"/>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Learning lead; Gymnasium environment, GNN, masked PPO</w:t>
            </w:r>
          </w:p>
        </w:tc>
        <w:tc>
          <w:tcPr>
            <w:tcW w:type="dxa" w:w="215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Training diagnostics and topology generalisation</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Policy code and checkpoints; training logs; learning ablations</w:t>
            </w:r>
          </w:p>
        </w:tc>
      </w:tr>
    </w:tbl>
    <w:p>
      <w:pPr>
        <w:spacing w:after="0"/>
      </w:pPr>
    </w:p>
    <w:p>
      <w:r>
        <w:rPr>
          <w:rFonts w:ascii="Times New Roman" w:hAnsi="Times New Roman" w:eastAsia="Times New Roman"/>
          <w:i w:val="0"/>
        </w:rPr>
        <w:t>Guide checkpoint. Prof. Bhuvaneswari M should review the frozen research question on Day 2, the proof boundary and preliminary pipeline on Day 8, the result interpretation on Day 17, and the final manuscript on Day 20.</w:t>
      </w:r>
    </w:p>
    <w:p>
      <w:pPr>
        <w:pStyle w:val="Heading1"/>
      </w:pPr>
      <w:r>
        <w:t>2 Review Pairing and Bus-Factor Control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38"/>
        <w:gridCol w:w="2338"/>
        <w:gridCol w:w="2338"/>
        <w:gridCol w:w="2338"/>
      </w:tblGrid>
      <w:tr>
        <w:trPr>
          <w:tblHeader w:val="true"/>
        </w:trPr>
        <w:tc>
          <w:tcPr>
            <w:tcW w:type="dxa" w:w="2268"/>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Workstream</w:t>
            </w:r>
          </w:p>
        </w:tc>
        <w:tc>
          <w:tcPr>
            <w:tcW w:type="dxa" w:w="1417"/>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Owner</w:t>
            </w:r>
          </w:p>
        </w:tc>
        <w:tc>
          <w:tcPr>
            <w:tcW w:type="dxa" w:w="1417"/>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Reviewer</w:t>
            </w:r>
          </w:p>
        </w:tc>
        <w:tc>
          <w:tcPr>
            <w:tcW w:type="dxa" w:w="4139"/>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Required handoff artifact</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Compiler integration</w:t>
            </w:r>
          </w:p>
        </w:tc>
        <w:tc>
          <w:tcPr>
            <w:tcW w:type="dxa" w:w="1417"/>
            <w:tcMar>
              <w:top w:w="85" w:type="dxa"/>
              <w:start w:w="95" w:type="dxa"/>
              <w:bottom w:w="85" w:type="dxa"/>
              <w:end w:w="95" w:type="dxa"/>
            </w:tcMar>
            <w:vAlign w:val="center"/>
          </w:tcPr>
          <w:p>
            <w:pPr>
              <w:spacing w:after="0"/>
              <w:jc w:val="left"/>
            </w:pPr>
            <w:r>
              <w:rPr>
                <w:rFonts w:ascii="Times New Roman" w:hAnsi="Times New Roman" w:eastAsia="Times New Roman"/>
                <w:sz w:val="18"/>
              </w:rPr>
              <w:t>Atharva</w:t>
            </w:r>
          </w:p>
        </w:tc>
        <w:tc>
          <w:tcPr>
            <w:tcW w:type="dxa" w:w="1417"/>
            <w:tcMar>
              <w:top w:w="85" w:type="dxa"/>
              <w:start w:w="95" w:type="dxa"/>
              <w:bottom w:w="85" w:type="dxa"/>
              <w:end w:w="95" w:type="dxa"/>
            </w:tcMar>
            <w:vAlign w:val="center"/>
          </w:tcPr>
          <w:p>
            <w:pPr>
              <w:spacing w:after="0"/>
              <w:jc w:val="left"/>
            </w:pPr>
            <w:r>
              <w:rPr>
                <w:rFonts w:ascii="Times New Roman" w:hAnsi="Times New Roman" w:eastAsia="Times New Roman"/>
                <w:sz w:val="18"/>
              </w:rPr>
              <w:t>Diptesh</w:t>
            </w:r>
          </w:p>
        </w:tc>
        <w:tc>
          <w:tcPr>
            <w:tcW w:type="dxa" w:w="4139"/>
            <w:tcMar>
              <w:top w:w="85" w:type="dxa"/>
              <w:start w:w="95" w:type="dxa"/>
              <w:bottom w:w="85" w:type="dxa"/>
              <w:end w:w="95" w:type="dxa"/>
            </w:tcMar>
            <w:vAlign w:val="center"/>
          </w:tcPr>
          <w:p>
            <w:pPr>
              <w:spacing w:after="0"/>
              <w:jc w:val="left"/>
            </w:pPr>
            <w:r>
              <w:rPr>
                <w:rFonts w:ascii="Times New Roman" w:hAnsi="Times New Roman" w:eastAsia="Times New Roman"/>
                <w:sz w:val="18"/>
              </w:rPr>
              <w:t>Interface tests and sample routed circuit</w:t>
            </w:r>
          </w:p>
        </w:tc>
      </w:tr>
      <w:tr>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Formal proofs</w:t>
            </w:r>
          </w:p>
        </w:tc>
        <w:tc>
          <w:tcPr>
            <w:tcW w:type="dxa" w:w="1417"/>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Shrivardhini</w:t>
            </w:r>
          </w:p>
        </w:tc>
        <w:tc>
          <w:tcPr>
            <w:tcW w:type="dxa" w:w="1417"/>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Atharva</w:t>
            </w:r>
          </w:p>
        </w:tc>
        <w:tc>
          <w:tcPr>
            <w:tcW w:type="dxa" w:w="4139"/>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Assumption list, theorem source, linked assertions</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Mapper/fallback/baselines</w:t>
            </w:r>
          </w:p>
        </w:tc>
        <w:tc>
          <w:tcPr>
            <w:tcW w:type="dxa" w:w="1417"/>
            <w:tcMar>
              <w:top w:w="85" w:type="dxa"/>
              <w:start w:w="95" w:type="dxa"/>
              <w:bottom w:w="85" w:type="dxa"/>
              <w:end w:w="95" w:type="dxa"/>
            </w:tcMar>
            <w:vAlign w:val="center"/>
          </w:tcPr>
          <w:p>
            <w:pPr>
              <w:spacing w:after="0"/>
              <w:jc w:val="left"/>
            </w:pPr>
            <w:r>
              <w:rPr>
                <w:rFonts w:ascii="Times New Roman" w:hAnsi="Times New Roman" w:eastAsia="Times New Roman"/>
                <w:sz w:val="18"/>
              </w:rPr>
              <w:t>Diptesh</w:t>
            </w:r>
          </w:p>
        </w:tc>
        <w:tc>
          <w:tcPr>
            <w:tcW w:type="dxa" w:w="1417"/>
            <w:tcMar>
              <w:top w:w="85" w:type="dxa"/>
              <w:start w:w="95" w:type="dxa"/>
              <w:bottom w:w="85" w:type="dxa"/>
              <w:end w:w="95" w:type="dxa"/>
            </w:tcMar>
            <w:vAlign w:val="center"/>
          </w:tcPr>
          <w:p>
            <w:pPr>
              <w:spacing w:after="0"/>
              <w:jc w:val="left"/>
            </w:pPr>
            <w:r>
              <w:rPr>
                <w:rFonts w:ascii="Times New Roman" w:hAnsi="Times New Roman" w:eastAsia="Times New Roman"/>
                <w:sz w:val="18"/>
              </w:rPr>
              <w:t>Shrivardhini</w:t>
            </w:r>
          </w:p>
        </w:tc>
        <w:tc>
          <w:tcPr>
            <w:tcW w:type="dxa" w:w="4139"/>
            <w:tcMar>
              <w:top w:w="85" w:type="dxa"/>
              <w:start w:w="95" w:type="dxa"/>
              <w:bottom w:w="85" w:type="dxa"/>
              <w:end w:w="95" w:type="dxa"/>
            </w:tcMar>
            <w:vAlign w:val="center"/>
          </w:tcPr>
          <w:p>
            <w:pPr>
              <w:spacing w:after="0"/>
              <w:jc w:val="left"/>
            </w:pPr>
            <w:r>
              <w:rPr>
                <w:rFonts w:ascii="Times New Roman" w:hAnsi="Times New Roman" w:eastAsia="Times New Roman"/>
                <w:sz w:val="18"/>
              </w:rPr>
              <w:t>Objective trace, termination tests, baseline parity</w:t>
            </w:r>
          </w:p>
        </w:tc>
      </w:tr>
      <w:tr>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GNN-PPO</w:t>
            </w:r>
          </w:p>
        </w:tc>
        <w:tc>
          <w:tcPr>
            <w:tcW w:type="dxa" w:w="1417"/>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Haridasu</w:t>
            </w:r>
          </w:p>
        </w:tc>
        <w:tc>
          <w:tcPr>
            <w:tcW w:type="dxa" w:w="1417"/>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Atharva</w:t>
            </w:r>
          </w:p>
        </w:tc>
        <w:tc>
          <w:tcPr>
            <w:tcW w:type="dxa" w:w="4139"/>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Environment checker, masked-policy tests, training dashboard</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Scheduler</w:t>
            </w:r>
          </w:p>
        </w:tc>
        <w:tc>
          <w:tcPr>
            <w:tcW w:type="dxa" w:w="1417"/>
            <w:tcMar>
              <w:top w:w="85" w:type="dxa"/>
              <w:start w:w="95" w:type="dxa"/>
              <w:bottom w:w="85" w:type="dxa"/>
              <w:end w:w="95" w:type="dxa"/>
            </w:tcMar>
            <w:vAlign w:val="center"/>
          </w:tcPr>
          <w:p>
            <w:pPr>
              <w:spacing w:after="0"/>
              <w:jc w:val="left"/>
            </w:pPr>
            <w:r>
              <w:rPr>
                <w:rFonts w:ascii="Times New Roman" w:hAnsi="Times New Roman" w:eastAsia="Times New Roman"/>
                <w:sz w:val="18"/>
              </w:rPr>
              <w:t>Shrivardhini</w:t>
            </w:r>
          </w:p>
        </w:tc>
        <w:tc>
          <w:tcPr>
            <w:tcW w:type="dxa" w:w="1417"/>
            <w:tcMar>
              <w:top w:w="85" w:type="dxa"/>
              <w:start w:w="95" w:type="dxa"/>
              <w:bottom w:w="85" w:type="dxa"/>
              <w:end w:w="95" w:type="dxa"/>
            </w:tcMar>
            <w:vAlign w:val="center"/>
          </w:tcPr>
          <w:p>
            <w:pPr>
              <w:spacing w:after="0"/>
              <w:jc w:val="left"/>
            </w:pPr>
            <w:r>
              <w:rPr>
                <w:rFonts w:ascii="Times New Roman" w:hAnsi="Times New Roman" w:eastAsia="Times New Roman"/>
                <w:sz w:val="18"/>
              </w:rPr>
              <w:t>Diptesh</w:t>
            </w:r>
          </w:p>
        </w:tc>
        <w:tc>
          <w:tcPr>
            <w:tcW w:type="dxa" w:w="4139"/>
            <w:tcMar>
              <w:top w:w="85" w:type="dxa"/>
              <w:start w:w="95" w:type="dxa"/>
              <w:bottom w:w="85" w:type="dxa"/>
              <w:end w:w="95" w:type="dxa"/>
            </w:tcMar>
            <w:vAlign w:val="center"/>
          </w:tcPr>
          <w:p>
            <w:pPr>
              <w:spacing w:after="0"/>
              <w:jc w:val="left"/>
            </w:pPr>
            <w:r>
              <w:rPr>
                <w:rFonts w:ascii="Times New Roman" w:hAnsi="Times New Roman" w:eastAsia="Times New Roman"/>
                <w:sz w:val="18"/>
              </w:rPr>
              <w:t>Feasibility tests, lower-bound calculations, makespan report</w:t>
            </w:r>
          </w:p>
        </w:tc>
      </w:tr>
      <w:tr>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Statistics and figures</w:t>
            </w:r>
          </w:p>
        </w:tc>
        <w:tc>
          <w:tcPr>
            <w:tcW w:type="dxa" w:w="1417"/>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Atharva</w:t>
            </w:r>
          </w:p>
        </w:tc>
        <w:tc>
          <w:tcPr>
            <w:tcW w:type="dxa" w:w="1417"/>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Haridasu</w:t>
            </w:r>
          </w:p>
        </w:tc>
        <w:tc>
          <w:tcPr>
            <w:tcW w:type="dxa" w:w="4139"/>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Frozen analysis script and regenerated figures</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Manuscript</w:t>
            </w:r>
          </w:p>
        </w:tc>
        <w:tc>
          <w:tcPr>
            <w:tcW w:type="dxa" w:w="1417"/>
            <w:tcMar>
              <w:top w:w="85" w:type="dxa"/>
              <w:start w:w="95" w:type="dxa"/>
              <w:bottom w:w="85" w:type="dxa"/>
              <w:end w:w="95" w:type="dxa"/>
            </w:tcMar>
            <w:vAlign w:val="center"/>
          </w:tcPr>
          <w:p>
            <w:pPr>
              <w:spacing w:after="0"/>
              <w:jc w:val="left"/>
            </w:pPr>
            <w:r>
              <w:rPr>
                <w:rFonts w:ascii="Times New Roman" w:hAnsi="Times New Roman" w:eastAsia="Times New Roman"/>
                <w:sz w:val="18"/>
              </w:rPr>
              <w:t>Shrivardhini</w:t>
            </w:r>
          </w:p>
        </w:tc>
        <w:tc>
          <w:tcPr>
            <w:tcW w:type="dxa" w:w="1417"/>
            <w:tcMar>
              <w:top w:w="85" w:type="dxa"/>
              <w:start w:w="95" w:type="dxa"/>
              <w:bottom w:w="85" w:type="dxa"/>
              <w:end w:w="95" w:type="dxa"/>
            </w:tcMar>
            <w:vAlign w:val="center"/>
          </w:tcPr>
          <w:p>
            <w:pPr>
              <w:spacing w:after="0"/>
              <w:jc w:val="left"/>
            </w:pPr>
            <w:r>
              <w:rPr>
                <w:rFonts w:ascii="Times New Roman" w:hAnsi="Times New Roman" w:eastAsia="Times New Roman"/>
                <w:sz w:val="18"/>
              </w:rPr>
              <w:t>All authors</w:t>
            </w:r>
          </w:p>
        </w:tc>
        <w:tc>
          <w:tcPr>
            <w:tcW w:type="dxa" w:w="4139"/>
            <w:tcMar>
              <w:top w:w="85" w:type="dxa"/>
              <w:start w:w="95" w:type="dxa"/>
              <w:bottom w:w="85" w:type="dxa"/>
              <w:end w:w="95" w:type="dxa"/>
            </w:tcMar>
            <w:vAlign w:val="center"/>
          </w:tcPr>
          <w:p>
            <w:pPr>
              <w:spacing w:after="0"/>
              <w:jc w:val="left"/>
            </w:pPr>
            <w:r>
              <w:rPr>
                <w:rFonts w:ascii="Times New Roman" w:hAnsi="Times New Roman" w:eastAsia="Times New Roman"/>
                <w:sz w:val="18"/>
              </w:rPr>
              <w:t>Compiled PDF, response checklist, contribution statement</w:t>
            </w:r>
          </w:p>
        </w:tc>
      </w:tr>
    </w:tbl>
    <w:p>
      <w:pPr>
        <w:spacing w:after="0"/>
      </w:pPr>
    </w:p>
    <w:p>
      <w:pPr>
        <w:pStyle w:val="Heading1"/>
      </w:pPr>
      <w:r>
        <w:t>3 Daily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38"/>
        <w:gridCol w:w="2338"/>
        <w:gridCol w:w="2338"/>
        <w:gridCol w:w="2338"/>
      </w:tblGrid>
      <w:tr>
        <w:trPr>
          <w:tblHeader w:val="true"/>
        </w:trPr>
        <w:tc>
          <w:tcPr>
            <w:tcW w:type="dxa" w:w="62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5"/>
              </w:rPr>
              <w:t>Day</w:t>
            </w:r>
          </w:p>
        </w:tc>
        <w:tc>
          <w:tcPr>
            <w:tcW w:type="dxa" w:w="181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5"/>
              </w:rPr>
              <w:t>Focus</w:t>
            </w:r>
          </w:p>
        </w:tc>
        <w:tc>
          <w:tcPr>
            <w:tcW w:type="dxa" w:w="4195"/>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5"/>
              </w:rPr>
              <w:t>Parallel assignments</w:t>
            </w:r>
          </w:p>
        </w:tc>
        <w:tc>
          <w:tcPr>
            <w:tcW w:type="dxa" w:w="2608"/>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5"/>
              </w:rPr>
              <w:t>Exit evidence</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1</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Kick-off and scope freeze</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Atharva: repo/env spike. Shrivardhini: formal objects. Diptesh: baselines and mapper spec. Haridasu: RL state/action draft.</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One-page research contract; repository skeleton; initial bibliography.</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2</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Interfaces and datasets</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Agree dataclasses and target adapter. Select circuits/topologies and create train/validation/test manifest.</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Interface document; immutable split manifest; guide review.</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3</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Baseline gate</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Run Qiskit SABRE and basic routing on smoke circuits. Establish metrics and validation skeleton.</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Baseline CSV/JSON; reproducible seed; Gate A passed.</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4</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Core implementations</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Mapper and scheduler coding; Gymnasium environment scaffold; theorem assumptions and invariants.</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Unit tests for graphs, mapping, ready set, resources.</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5</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Deterministic routing</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Implement fallback shortest-path router and final-layout bookkeeping; policy feature builder.</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Legal routed outputs on paths/grids; mapping trace.</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6</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End-to-end deterministic path</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Integrate mapper, fallback, scheduler, validation; implement GNN actor-critic forward pass.</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One command compiles smoke suite; PyG tensors validated.</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7</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Core gate</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Stress deterministic pipeline and exact oracle on tiny cases; fix interfaces before learning integration.</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Gate B passed; no open interface redesign.</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8</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Masked policy integration</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Connect GNN scores to edge actions and EXECUTE; prove/verify zero probability for illegal actions.</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Environment checker passes; action-mask property tests.</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9</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PPO rollout</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Implement trajectory buffer, GAE, clipped loss, entropy and value losses; start tiny curriculum.</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Short training run improves shaped return without invalid actions.</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10</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Scheduler feedback</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Feed realised or incremental depth signals into routing reward; monitor fallback and cycles.</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Reward decomposition logs; scheduler lower-bound report.</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11</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Learning gate</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Run end-to-end learned routing on validation circuits; profile bottlenecks and memory.</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Gate C learning milestone; selected architecture fixed.</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12</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Curriculum and tuning</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Limited hyperparameter search on validation set only; expand circuit width/topology diversity.</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Candidate configs and deterministic comparison notebook/script.</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13</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Robustness</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Topology holdout evaluation, failure analysis, watchdog tuning, proof assumption audit.</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Generalisation table draft; failure taxonomy.</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14</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Training freeze</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Choose one primary model and one backup. Freeze reward weights, architecture, seeds, and timeouts.</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Signed configuration hash; test set still unopened.</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15</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Main experiments</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Run all baselines and QWeave on test circuits. Validate every output and preserve failures.</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Per-circuit raw result bundle, run manifests, logs.</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16</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Ablations and statistics</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Run required ablations; calculate paired deltas, bootstrap intervals, tests, and effects.</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Tables and main plots regenerated from scripts.</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17</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Results freeze</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No method changes. Review anomalies, timeouts, and negative results; write exact claims.</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Gate D passed; result table frozen and checksummed.</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18</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Paper assembly</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Integrate methods, proofs, experiments, results, threats, data statement, and related work.</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Complete first full manuscript; all figures final-size readable.</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19</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Manuscript freeze</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Internal review for claim/evidence alignment, citations, theorem assumptions, and reproducibility.</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Gate E draft; no new experiments unless correcting an error.</w:t>
            </w:r>
          </w:p>
        </w:tc>
      </w:tr>
      <w:tr>
        <w:tc>
          <w:tcPr>
            <w:tcW w:type="dxa" w:w="6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20</w:t>
            </w:r>
          </w:p>
        </w:tc>
        <w:tc>
          <w:tcPr>
            <w:tcW w:type="dxa" w:w="181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Guide and venue review</w:t>
            </w:r>
          </w:p>
        </w:tc>
        <w:tc>
          <w:tcPr>
            <w:tcW w:type="dxa" w:w="419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Apply guide feedback; format target template; anonymise if required; verify quartile/scope and costs.</w:t>
            </w:r>
          </w:p>
        </w:tc>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Submission-ready manuscript, supplement, cover letter draft.</w:t>
            </w:r>
          </w:p>
        </w:tc>
      </w:tr>
      <w:tr>
        <w:tc>
          <w:tcPr>
            <w:tcW w:type="dxa" w:w="624"/>
            <w:tcMar>
              <w:top w:w="85" w:type="dxa"/>
              <w:start w:w="95" w:type="dxa"/>
              <w:bottom w:w="85" w:type="dxa"/>
              <w:end w:w="95" w:type="dxa"/>
            </w:tcMar>
            <w:vAlign w:val="center"/>
          </w:tcPr>
          <w:p>
            <w:pPr>
              <w:spacing w:after="0"/>
              <w:jc w:val="left"/>
            </w:pPr>
            <w:r>
              <w:rPr>
                <w:rFonts w:ascii="Times New Roman" w:hAnsi="Times New Roman" w:eastAsia="Times New Roman"/>
                <w:sz w:val="15"/>
              </w:rPr>
              <w:t>21</w:t>
            </w:r>
          </w:p>
        </w:tc>
        <w:tc>
          <w:tcPr>
            <w:tcW w:type="dxa" w:w="1814"/>
            <w:tcMar>
              <w:top w:w="85" w:type="dxa"/>
              <w:start w:w="95" w:type="dxa"/>
              <w:bottom w:w="85" w:type="dxa"/>
              <w:end w:w="95" w:type="dxa"/>
            </w:tcMar>
            <w:vAlign w:val="center"/>
          </w:tcPr>
          <w:p>
            <w:pPr>
              <w:spacing w:after="0"/>
              <w:jc w:val="left"/>
            </w:pPr>
            <w:r>
              <w:rPr>
                <w:rFonts w:ascii="Times New Roman" w:hAnsi="Times New Roman" w:eastAsia="Times New Roman"/>
                <w:sz w:val="15"/>
              </w:rPr>
              <w:t>Release and submission bundle</w:t>
            </w:r>
          </w:p>
        </w:tc>
        <w:tc>
          <w:tcPr>
            <w:tcW w:type="dxa" w:w="4195"/>
            <w:tcMar>
              <w:top w:w="85" w:type="dxa"/>
              <w:start w:w="95" w:type="dxa"/>
              <w:bottom w:w="85" w:type="dxa"/>
              <w:end w:w="95" w:type="dxa"/>
            </w:tcMar>
            <w:vAlign w:val="center"/>
          </w:tcPr>
          <w:p>
            <w:pPr>
              <w:spacing w:after="0"/>
              <w:jc w:val="left"/>
            </w:pPr>
            <w:r>
              <w:rPr>
                <w:rFonts w:ascii="Times New Roman" w:hAnsi="Times New Roman" w:eastAsia="Times New Roman"/>
                <w:sz w:val="15"/>
              </w:rPr>
              <w:t>Fresh-clone reproduction test; tag repository; archive release; final author approvals.</w:t>
            </w:r>
          </w:p>
        </w:tc>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5"/>
              </w:rPr>
              <w:t>Release artifact, final PDFs/source, checklist, submission package.</w:t>
            </w:r>
          </w:p>
        </w:tc>
      </w:tr>
    </w:tbl>
    <w:p>
      <w:pPr>
        <w:spacing w:after="0"/>
      </w:pPr>
    </w:p>
    <w:p>
      <w:pPr>
        <w:pStyle w:val="Heading1"/>
      </w:pPr>
      <w:r>
        <w:t>4 Person-Level Deliverables</w:t>
      </w:r>
    </w:p>
    <w:p>
      <w:pPr>
        <w:pStyle w:val="Heading2"/>
      </w:pPr>
      <w:r>
        <w:t>Atharva Sheersh Pandey</w:t>
      </w:r>
    </w:p>
    <w:p>
      <w:pPr>
        <w:pStyle w:val="ListBullet"/>
        <w:spacing w:after="60"/>
        <w:ind w:left="369" w:hanging="142"/>
      </w:pPr>
      <w:r>
        <w:t>Qiskit pass integration and CLI</w:t>
      </w:r>
    </w:p>
    <w:p>
      <w:pPr>
        <w:pStyle w:val="ListBullet"/>
        <w:spacing w:after="60"/>
        <w:ind w:left="369" w:hanging="142"/>
      </w:pPr>
      <w:r>
        <w:t>Target/circuit adapters and shared dataclasses</w:t>
      </w:r>
    </w:p>
    <w:p>
      <w:pPr>
        <w:pStyle w:val="ListBullet"/>
        <w:spacing w:after="60"/>
        <w:ind w:left="369" w:hanging="142"/>
      </w:pPr>
      <w:r>
        <w:t>Experiment runner, configuration hashing, CI, release</w:t>
      </w:r>
    </w:p>
    <w:p>
      <w:pPr>
        <w:pStyle w:val="ListBullet"/>
        <w:spacing w:after="60"/>
        <w:ind w:left="369" w:hanging="142"/>
      </w:pPr>
      <w:r>
        <w:t>Statistical aggregation and regenerable figures</w:t>
      </w:r>
    </w:p>
    <w:p>
      <w:pPr>
        <w:pStyle w:val="ListBullet"/>
        <w:spacing w:after="60"/>
        <w:ind w:left="369" w:hanging="142"/>
      </w:pPr>
      <w:r>
        <w:t>Final repository and artifact reproducibility test</w:t>
      </w:r>
    </w:p>
    <w:p>
      <w:pPr>
        <w:pStyle w:val="Heading2"/>
      </w:pPr>
      <w:r>
        <w:t>Shrivardhini N</w:t>
      </w:r>
    </w:p>
    <w:p>
      <w:pPr>
        <w:pStyle w:val="ListBullet"/>
        <w:spacing w:after="60"/>
        <w:ind w:left="369" w:hanging="142"/>
      </w:pPr>
      <w:r>
        <w:t>Formal problem model and assumption register</w:t>
      </w:r>
    </w:p>
    <w:p>
      <w:pPr>
        <w:pStyle w:val="ListBullet"/>
        <w:spacing w:after="60"/>
        <w:ind w:left="369" w:hanging="142"/>
      </w:pPr>
      <w:r>
        <w:t>Mapping, legality, equivalence, scheduler, and termination proofs</w:t>
      </w:r>
    </w:p>
    <w:p>
      <w:pPr>
        <w:pStyle w:val="ListBullet"/>
        <w:spacing w:after="60"/>
        <w:ind w:left="369" w:hanging="142"/>
      </w:pPr>
      <w:r>
        <w:t>Depth-aware scheduler and feasibility checker</w:t>
      </w:r>
    </w:p>
    <w:p>
      <w:pPr>
        <w:pStyle w:val="ListBullet"/>
        <w:spacing w:after="60"/>
        <w:ind w:left="369" w:hanging="142"/>
      </w:pPr>
      <w:r>
        <w:t>Proof-linked property/equivalence tests</w:t>
      </w:r>
    </w:p>
    <w:p>
      <w:pPr>
        <w:pStyle w:val="ListBullet"/>
        <w:spacing w:after="60"/>
        <w:ind w:left="369" w:hanging="142"/>
      </w:pPr>
      <w:r>
        <w:t>Methods, theory, limitations, and final manuscript integration</w:t>
      </w:r>
    </w:p>
    <w:p>
      <w:pPr>
        <w:pStyle w:val="Heading2"/>
      </w:pPr>
      <w:r>
        <w:t>Diptesh Das</w:t>
      </w:r>
    </w:p>
    <w:p>
      <w:pPr>
        <w:pStyle w:val="ListBullet"/>
        <w:spacing w:after="60"/>
        <w:ind w:left="369" w:hanging="142"/>
      </w:pPr>
      <w:r>
        <w:t>Weighted interaction graph and initial mapping</w:t>
      </w:r>
    </w:p>
    <w:p>
      <w:pPr>
        <w:pStyle w:val="ListBullet"/>
        <w:spacing w:after="60"/>
        <w:ind w:left="369" w:hanging="142"/>
      </w:pPr>
      <w:r>
        <w:t>Strict-improvement local search and trace</w:t>
      </w:r>
    </w:p>
    <w:p>
      <w:pPr>
        <w:pStyle w:val="ListBullet"/>
        <w:spacing w:after="60"/>
        <w:ind w:left="369" w:hanging="142"/>
      </w:pPr>
      <w:r>
        <w:t>Deterministic shortest-path fallback</w:t>
      </w:r>
    </w:p>
    <w:p>
      <w:pPr>
        <w:pStyle w:val="ListBullet"/>
        <w:spacing w:after="60"/>
        <w:ind w:left="369" w:hanging="142"/>
      </w:pPr>
      <w:r>
        <w:t>SABRE/basic baselines and small CP-SAT oracle</w:t>
      </w:r>
    </w:p>
    <w:p>
      <w:pPr>
        <w:pStyle w:val="ListBullet"/>
        <w:spacing w:after="60"/>
        <w:ind w:left="369" w:hanging="142"/>
      </w:pPr>
      <w:r>
        <w:t>Mapper/fallback/oracle ablations and runtime analysis</w:t>
      </w:r>
    </w:p>
    <w:p>
      <w:pPr>
        <w:pStyle w:val="Heading2"/>
      </w:pPr>
      <w:r>
        <w:t>Haridasu Sreedhar</w:t>
      </w:r>
    </w:p>
    <w:p>
      <w:pPr>
        <w:pStyle w:val="ListBullet"/>
        <w:spacing w:after="60"/>
        <w:ind w:left="369" w:hanging="142"/>
      </w:pPr>
      <w:r>
        <w:t>Gymnasium environment and graph observations</w:t>
      </w:r>
    </w:p>
    <w:p>
      <w:pPr>
        <w:pStyle w:val="ListBullet"/>
        <w:spacing w:after="60"/>
        <w:ind w:left="369" w:hanging="142"/>
      </w:pPr>
      <w:r>
        <w:t>PyG message-passing actor-critic</w:t>
      </w:r>
    </w:p>
    <w:p>
      <w:pPr>
        <w:pStyle w:val="ListBullet"/>
        <w:spacing w:after="60"/>
        <w:ind w:left="369" w:hanging="142"/>
      </w:pPr>
      <w:r>
        <w:t>Masked edge-action distribution and PPO trainer</w:t>
      </w:r>
    </w:p>
    <w:p>
      <w:pPr>
        <w:pStyle w:val="ListBullet"/>
        <w:spacing w:after="60"/>
        <w:ind w:left="369" w:hanging="142"/>
      </w:pPr>
      <w:r>
        <w:t>Curriculum, checkpoints, diagnostics, and topology holdout</w:t>
      </w:r>
    </w:p>
    <w:p>
      <w:pPr>
        <w:pStyle w:val="ListBullet"/>
        <w:spacing w:after="60"/>
        <w:ind w:left="369" w:hanging="142"/>
      </w:pPr>
      <w:r>
        <w:t>No-GNN/no-shaping/no-learning ablations</w:t>
      </w:r>
    </w:p>
    <w:p>
      <w:pPr>
        <w:pStyle w:val="Heading1"/>
      </w:pPr>
      <w:r>
        <w:t>5 Daily Integration Rhythm</w:t>
      </w:r>
    </w:p>
    <w:p>
      <w:pPr>
        <w:pStyle w:val="ListBullet"/>
        <w:spacing w:after="60"/>
        <w:ind w:left="369" w:hanging="142"/>
      </w:pPr>
      <w:r>
        <w:t>09:00-09:15: stand-up. State yesterday's evidence, today's measurable exit, and blockers.</w:t>
      </w:r>
    </w:p>
    <w:p>
      <w:pPr>
        <w:pStyle w:val="ListBullet"/>
        <w:spacing w:after="60"/>
        <w:ind w:left="369" w:hanging="142"/>
      </w:pPr>
      <w:r>
        <w:t>13:00: interface checkpoint. Merge contract changes before dependent work continues.</w:t>
      </w:r>
    </w:p>
    <w:p>
      <w:pPr>
        <w:pStyle w:val="ListBullet"/>
        <w:spacing w:after="60"/>
        <w:ind w:left="369" w:hanging="142"/>
      </w:pPr>
      <w:r>
        <w:t>18:00: integration window. Owner demonstrates tests/results; reviewer approves or returns specific issues.</w:t>
      </w:r>
    </w:p>
    <w:p>
      <w:pPr>
        <w:pStyle w:val="ListBullet"/>
        <w:spacing w:after="60"/>
        <w:ind w:left="369" w:hanging="142"/>
      </w:pPr>
      <w:r>
        <w:t>18:30: automated smoke run and artifact upload. Main must remain green overnight.</w:t>
      </w:r>
    </w:p>
    <w:p>
      <w:pPr>
        <w:pStyle w:val="ListBullet"/>
        <w:spacing w:after="60"/>
        <w:ind w:left="369" w:hanging="142"/>
      </w:pPr>
      <w:r>
        <w:t>Twice weekly: 30-minute claim audit. Each manuscript sentence labelled proof, measured result, interpretation, or future work.</w:t>
      </w:r>
    </w:p>
    <w:p>
      <w:pPr>
        <w:pStyle w:val="Heading2"/>
      </w:pPr>
      <w:r>
        <w:t>5.1 Pull Request Rules</w:t>
      </w:r>
    </w:p>
    <w:p>
      <w:pPr>
        <w:pStyle w:val="ListBullet"/>
        <w:spacing w:after="60"/>
        <w:ind w:left="369" w:hanging="142"/>
      </w:pPr>
      <w:r>
        <w:t>One logical change per pull request; no direct commits to main after Day 3.</w:t>
      </w:r>
    </w:p>
    <w:p>
      <w:pPr>
        <w:pStyle w:val="ListBullet"/>
        <w:spacing w:after="60"/>
        <w:ind w:left="369" w:hanging="142"/>
      </w:pPr>
      <w:r>
        <w:t>Every algorithm change includes or updates tests and a short complexity/assumption note.</w:t>
      </w:r>
    </w:p>
    <w:p>
      <w:pPr>
        <w:pStyle w:val="ListBullet"/>
        <w:spacing w:after="60"/>
        <w:ind w:left="369" w:hanging="142"/>
      </w:pPr>
      <w:r>
        <w:t>Every experiment change updates a versioned config; never overwrite raw results.</w:t>
      </w:r>
    </w:p>
    <w:p>
      <w:pPr>
        <w:pStyle w:val="ListBullet"/>
        <w:spacing w:after="60"/>
        <w:ind w:left="369" w:hanging="142"/>
      </w:pPr>
      <w:r>
        <w:t>Proof-affecting code requires mathematical-lead review. Metric-affecting code requires integration-lead review.</w:t>
      </w:r>
    </w:p>
    <w:p>
      <w:pPr>
        <w:pStyle w:val="ListBullet"/>
        <w:spacing w:after="60"/>
        <w:ind w:left="369" w:hanging="142"/>
      </w:pPr>
      <w:r>
        <w:t>A reviewer reproduces one representative command before approval.</w:t>
      </w:r>
    </w:p>
    <w:p>
      <w:pPr>
        <w:pStyle w:val="Heading1"/>
      </w:pPr>
      <w:r>
        <w:t>6 RACI for Critical Decisions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1"/>
        <w:gridCol w:w="1871"/>
        <w:gridCol w:w="1871"/>
        <w:gridCol w:w="1871"/>
        <w:gridCol w:w="1871"/>
      </w:tblGrid>
      <w:tr>
        <w:trPr>
          <w:tblHeader w:val="true"/>
        </w:trPr>
        <w:tc>
          <w:tcPr>
            <w:tcW w:type="dxa" w:w="2608"/>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Decision</w:t>
            </w:r>
          </w:p>
        </w:tc>
        <w:tc>
          <w:tcPr>
            <w:tcW w:type="dxa" w:w="1701"/>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Responsible</w:t>
            </w:r>
          </w:p>
        </w:tc>
        <w:tc>
          <w:tcPr>
            <w:tcW w:type="dxa" w:w="1757"/>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Accountable</w:t>
            </w:r>
          </w:p>
        </w:tc>
        <w:tc>
          <w:tcPr>
            <w:tcW w:type="dxa" w:w="2041"/>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Consulted</w:t>
            </w:r>
          </w:p>
        </w:tc>
        <w:tc>
          <w:tcPr>
            <w:tcW w:type="dxa" w:w="113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Informed</w:t>
            </w:r>
          </w:p>
        </w:tc>
      </w:tr>
      <w:tr>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6"/>
              </w:rPr>
              <w:t>Research question and scope</w:t>
            </w:r>
          </w:p>
        </w:tc>
        <w:tc>
          <w:tcPr>
            <w:tcW w:type="dxa" w:w="1701"/>
            <w:tcMar>
              <w:top w:w="85" w:type="dxa"/>
              <w:start w:w="95" w:type="dxa"/>
              <w:bottom w:w="85" w:type="dxa"/>
              <w:end w:w="95" w:type="dxa"/>
            </w:tcMar>
            <w:vAlign w:val="center"/>
          </w:tcPr>
          <w:p>
            <w:pPr>
              <w:spacing w:after="0"/>
              <w:jc w:val="left"/>
            </w:pPr>
            <w:r>
              <w:rPr>
                <w:rFonts w:ascii="Times New Roman" w:hAnsi="Times New Roman" w:eastAsia="Times New Roman"/>
                <w:sz w:val="16"/>
              </w:rPr>
              <w:t>All</w:t>
            </w:r>
          </w:p>
        </w:tc>
        <w:tc>
          <w:tcPr>
            <w:tcW w:type="dxa" w:w="1757"/>
            <w:tcMar>
              <w:top w:w="85" w:type="dxa"/>
              <w:start w:w="95" w:type="dxa"/>
              <w:bottom w:w="85" w:type="dxa"/>
              <w:end w:w="95" w:type="dxa"/>
            </w:tcMar>
            <w:vAlign w:val="center"/>
          </w:tcPr>
          <w:p>
            <w:pPr>
              <w:spacing w:after="0"/>
              <w:jc w:val="left"/>
            </w:pPr>
            <w:r>
              <w:rPr>
                <w:rFonts w:ascii="Times New Roman" w:hAnsi="Times New Roman" w:eastAsia="Times New Roman"/>
                <w:sz w:val="16"/>
              </w:rPr>
              <w:t>Guide + Atharva</w:t>
            </w:r>
          </w:p>
        </w:tc>
        <w:tc>
          <w:tcPr>
            <w:tcW w:type="dxa" w:w="2041"/>
            <w:tcMar>
              <w:top w:w="85" w:type="dxa"/>
              <w:start w:w="95" w:type="dxa"/>
              <w:bottom w:w="85" w:type="dxa"/>
              <w:end w:w="95" w:type="dxa"/>
            </w:tcMar>
            <w:vAlign w:val="center"/>
          </w:tcPr>
          <w:p>
            <w:pPr>
              <w:spacing w:after="0"/>
              <w:jc w:val="left"/>
            </w:pPr>
            <w:r>
              <w:rPr>
                <w:rFonts w:ascii="Times New Roman" w:hAnsi="Times New Roman" w:eastAsia="Times New Roman"/>
                <w:sz w:val="16"/>
              </w:rPr>
              <w:t>All</w:t>
            </w:r>
          </w:p>
        </w:tc>
        <w:tc>
          <w:tcPr>
            <w:tcW w:type="dxa" w:w="1134"/>
            <w:tcMar>
              <w:top w:w="85" w:type="dxa"/>
              <w:start w:w="95" w:type="dxa"/>
              <w:bottom w:w="85" w:type="dxa"/>
              <w:end w:w="95" w:type="dxa"/>
            </w:tcMar>
            <w:vAlign w:val="center"/>
          </w:tcPr>
          <w:p>
            <w:pPr>
              <w:spacing w:after="0"/>
              <w:jc w:val="left"/>
            </w:pPr>
            <w:r>
              <w:rPr>
                <w:rFonts w:ascii="Times New Roman" w:hAnsi="Times New Roman" w:eastAsia="Times New Roman"/>
                <w:sz w:val="16"/>
              </w:rPr>
              <w:t>All</w:t>
            </w:r>
          </w:p>
        </w:tc>
      </w:tr>
      <w:tr>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Formal assumptions and theorem wording</w:t>
            </w:r>
          </w:p>
        </w:tc>
        <w:tc>
          <w:tcPr>
            <w:tcW w:type="dxa" w:w="170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Shrivardhini</w:t>
            </w:r>
          </w:p>
        </w:tc>
        <w:tc>
          <w:tcPr>
            <w:tcW w:type="dxa" w:w="1757"/>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Shrivardhini</w:t>
            </w:r>
          </w:p>
        </w:tc>
        <w:tc>
          <w:tcPr>
            <w:tcW w:type="dxa" w:w="204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Atharva, Diptesh</w:t>
            </w:r>
          </w:p>
        </w:tc>
        <w:tc>
          <w:tcPr>
            <w:tcW w:type="dxa" w:w="113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Haridasu</w:t>
            </w:r>
          </w:p>
        </w:tc>
      </w:tr>
      <w:tr>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6"/>
              </w:rPr>
              <w:t>Compiler interfaces</w:t>
            </w:r>
          </w:p>
        </w:tc>
        <w:tc>
          <w:tcPr>
            <w:tcW w:type="dxa" w:w="1701"/>
            <w:tcMar>
              <w:top w:w="85" w:type="dxa"/>
              <w:start w:w="95" w:type="dxa"/>
              <w:bottom w:w="85" w:type="dxa"/>
              <w:end w:w="95" w:type="dxa"/>
            </w:tcMar>
            <w:vAlign w:val="center"/>
          </w:tcPr>
          <w:p>
            <w:pPr>
              <w:spacing w:after="0"/>
              <w:jc w:val="left"/>
            </w:pPr>
            <w:r>
              <w:rPr>
                <w:rFonts w:ascii="Times New Roman" w:hAnsi="Times New Roman" w:eastAsia="Times New Roman"/>
                <w:sz w:val="16"/>
              </w:rPr>
              <w:t>Atharva</w:t>
            </w:r>
          </w:p>
        </w:tc>
        <w:tc>
          <w:tcPr>
            <w:tcW w:type="dxa" w:w="1757"/>
            <w:tcMar>
              <w:top w:w="85" w:type="dxa"/>
              <w:start w:w="95" w:type="dxa"/>
              <w:bottom w:w="85" w:type="dxa"/>
              <w:end w:w="95" w:type="dxa"/>
            </w:tcMar>
            <w:vAlign w:val="center"/>
          </w:tcPr>
          <w:p>
            <w:pPr>
              <w:spacing w:after="0"/>
              <w:jc w:val="left"/>
            </w:pPr>
            <w:r>
              <w:rPr>
                <w:rFonts w:ascii="Times New Roman" w:hAnsi="Times New Roman" w:eastAsia="Times New Roman"/>
                <w:sz w:val="16"/>
              </w:rPr>
              <w:t>Atharva</w:t>
            </w:r>
          </w:p>
        </w:tc>
        <w:tc>
          <w:tcPr>
            <w:tcW w:type="dxa" w:w="2041"/>
            <w:tcMar>
              <w:top w:w="85" w:type="dxa"/>
              <w:start w:w="95" w:type="dxa"/>
              <w:bottom w:w="85" w:type="dxa"/>
              <w:end w:w="95" w:type="dxa"/>
            </w:tcMar>
            <w:vAlign w:val="center"/>
          </w:tcPr>
          <w:p>
            <w:pPr>
              <w:spacing w:after="0"/>
              <w:jc w:val="left"/>
            </w:pPr>
            <w:r>
              <w:rPr>
                <w:rFonts w:ascii="Times New Roman" w:hAnsi="Times New Roman" w:eastAsia="Times New Roman"/>
                <w:sz w:val="16"/>
              </w:rPr>
              <w:t>Diptesh, Haridasu</w:t>
            </w:r>
          </w:p>
        </w:tc>
        <w:tc>
          <w:tcPr>
            <w:tcW w:type="dxa" w:w="1134"/>
            <w:tcMar>
              <w:top w:w="85" w:type="dxa"/>
              <w:start w:w="95" w:type="dxa"/>
              <w:bottom w:w="85" w:type="dxa"/>
              <w:end w:w="95" w:type="dxa"/>
            </w:tcMar>
            <w:vAlign w:val="center"/>
          </w:tcPr>
          <w:p>
            <w:pPr>
              <w:spacing w:after="0"/>
              <w:jc w:val="left"/>
            </w:pPr>
            <w:r>
              <w:rPr>
                <w:rFonts w:ascii="Times New Roman" w:hAnsi="Times New Roman" w:eastAsia="Times New Roman"/>
                <w:sz w:val="16"/>
              </w:rPr>
              <w:t>Shrivardhini</w:t>
            </w:r>
          </w:p>
        </w:tc>
      </w:tr>
      <w:tr>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Reward and model architecture</w:t>
            </w:r>
          </w:p>
        </w:tc>
        <w:tc>
          <w:tcPr>
            <w:tcW w:type="dxa" w:w="170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Haridasu</w:t>
            </w:r>
          </w:p>
        </w:tc>
        <w:tc>
          <w:tcPr>
            <w:tcW w:type="dxa" w:w="1757"/>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Haridasu</w:t>
            </w:r>
          </w:p>
        </w:tc>
        <w:tc>
          <w:tcPr>
            <w:tcW w:type="dxa" w:w="204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Shrivardhini, Atharva</w:t>
            </w:r>
          </w:p>
        </w:tc>
        <w:tc>
          <w:tcPr>
            <w:tcW w:type="dxa" w:w="113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Diptesh</w:t>
            </w:r>
          </w:p>
        </w:tc>
      </w:tr>
      <w:tr>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6"/>
              </w:rPr>
              <w:t>Baseline and oracle settings</w:t>
            </w:r>
          </w:p>
        </w:tc>
        <w:tc>
          <w:tcPr>
            <w:tcW w:type="dxa" w:w="1701"/>
            <w:tcMar>
              <w:top w:w="85" w:type="dxa"/>
              <w:start w:w="95" w:type="dxa"/>
              <w:bottom w:w="85" w:type="dxa"/>
              <w:end w:w="95" w:type="dxa"/>
            </w:tcMar>
            <w:vAlign w:val="center"/>
          </w:tcPr>
          <w:p>
            <w:pPr>
              <w:spacing w:after="0"/>
              <w:jc w:val="left"/>
            </w:pPr>
            <w:r>
              <w:rPr>
                <w:rFonts w:ascii="Times New Roman" w:hAnsi="Times New Roman" w:eastAsia="Times New Roman"/>
                <w:sz w:val="16"/>
              </w:rPr>
              <w:t>Diptesh</w:t>
            </w:r>
          </w:p>
        </w:tc>
        <w:tc>
          <w:tcPr>
            <w:tcW w:type="dxa" w:w="1757"/>
            <w:tcMar>
              <w:top w:w="85" w:type="dxa"/>
              <w:start w:w="95" w:type="dxa"/>
              <w:bottom w:w="85" w:type="dxa"/>
              <w:end w:w="95" w:type="dxa"/>
            </w:tcMar>
            <w:vAlign w:val="center"/>
          </w:tcPr>
          <w:p>
            <w:pPr>
              <w:spacing w:after="0"/>
              <w:jc w:val="left"/>
            </w:pPr>
            <w:r>
              <w:rPr>
                <w:rFonts w:ascii="Times New Roman" w:hAnsi="Times New Roman" w:eastAsia="Times New Roman"/>
                <w:sz w:val="16"/>
              </w:rPr>
              <w:t>Diptesh</w:t>
            </w:r>
          </w:p>
        </w:tc>
        <w:tc>
          <w:tcPr>
            <w:tcW w:type="dxa" w:w="2041"/>
            <w:tcMar>
              <w:top w:w="85" w:type="dxa"/>
              <w:start w:w="95" w:type="dxa"/>
              <w:bottom w:w="85" w:type="dxa"/>
              <w:end w:w="95" w:type="dxa"/>
            </w:tcMar>
            <w:vAlign w:val="center"/>
          </w:tcPr>
          <w:p>
            <w:pPr>
              <w:spacing w:after="0"/>
              <w:jc w:val="left"/>
            </w:pPr>
            <w:r>
              <w:rPr>
                <w:rFonts w:ascii="Times New Roman" w:hAnsi="Times New Roman" w:eastAsia="Times New Roman"/>
                <w:sz w:val="16"/>
              </w:rPr>
              <w:t>Atharva, Shrivardhini</w:t>
            </w:r>
          </w:p>
        </w:tc>
        <w:tc>
          <w:tcPr>
            <w:tcW w:type="dxa" w:w="1134"/>
            <w:tcMar>
              <w:top w:w="85" w:type="dxa"/>
              <w:start w:w="95" w:type="dxa"/>
              <w:bottom w:w="85" w:type="dxa"/>
              <w:end w:w="95" w:type="dxa"/>
            </w:tcMar>
            <w:vAlign w:val="center"/>
          </w:tcPr>
          <w:p>
            <w:pPr>
              <w:spacing w:after="0"/>
              <w:jc w:val="left"/>
            </w:pPr>
            <w:r>
              <w:rPr>
                <w:rFonts w:ascii="Times New Roman" w:hAnsi="Times New Roman" w:eastAsia="Times New Roman"/>
                <w:sz w:val="16"/>
              </w:rPr>
              <w:t>Haridasu</w:t>
            </w:r>
          </w:p>
        </w:tc>
      </w:tr>
      <w:tr>
        <w:tc>
          <w:tcPr>
            <w:tcW w:type="dxa" w:w="2608"/>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Results freeze and paper claims</w:t>
            </w:r>
          </w:p>
        </w:tc>
        <w:tc>
          <w:tcPr>
            <w:tcW w:type="dxa" w:w="170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All</w:t>
            </w:r>
          </w:p>
        </w:tc>
        <w:tc>
          <w:tcPr>
            <w:tcW w:type="dxa" w:w="1757"/>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Guide + Shrivardhini</w:t>
            </w:r>
          </w:p>
        </w:tc>
        <w:tc>
          <w:tcPr>
            <w:tcW w:type="dxa" w:w="204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All</w:t>
            </w:r>
          </w:p>
        </w:tc>
        <w:tc>
          <w:tcPr>
            <w:tcW w:type="dxa" w:w="113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All</w:t>
            </w:r>
          </w:p>
        </w:tc>
      </w:tr>
      <w:tr>
        <w:tc>
          <w:tcPr>
            <w:tcW w:type="dxa" w:w="2608"/>
            <w:tcMar>
              <w:top w:w="85" w:type="dxa"/>
              <w:start w:w="95" w:type="dxa"/>
              <w:bottom w:w="85" w:type="dxa"/>
              <w:end w:w="95" w:type="dxa"/>
            </w:tcMar>
            <w:vAlign w:val="center"/>
          </w:tcPr>
          <w:p>
            <w:pPr>
              <w:spacing w:after="0"/>
              <w:jc w:val="left"/>
            </w:pPr>
            <w:r>
              <w:rPr>
                <w:rFonts w:ascii="Times New Roman" w:hAnsi="Times New Roman" w:eastAsia="Times New Roman"/>
                <w:sz w:val="16"/>
              </w:rPr>
              <w:t>Venue and submission</w:t>
            </w:r>
          </w:p>
        </w:tc>
        <w:tc>
          <w:tcPr>
            <w:tcW w:type="dxa" w:w="1701"/>
            <w:tcMar>
              <w:top w:w="85" w:type="dxa"/>
              <w:start w:w="95" w:type="dxa"/>
              <w:bottom w:w="85" w:type="dxa"/>
              <w:end w:w="95" w:type="dxa"/>
            </w:tcMar>
            <w:vAlign w:val="center"/>
          </w:tcPr>
          <w:p>
            <w:pPr>
              <w:spacing w:after="0"/>
              <w:jc w:val="left"/>
            </w:pPr>
            <w:r>
              <w:rPr>
                <w:rFonts w:ascii="Times New Roman" w:hAnsi="Times New Roman" w:eastAsia="Times New Roman"/>
                <w:sz w:val="16"/>
              </w:rPr>
              <w:t>Atharva, Shrivardhini</w:t>
            </w:r>
          </w:p>
        </w:tc>
        <w:tc>
          <w:tcPr>
            <w:tcW w:type="dxa" w:w="1757"/>
            <w:tcMar>
              <w:top w:w="85" w:type="dxa"/>
              <w:start w:w="95" w:type="dxa"/>
              <w:bottom w:w="85" w:type="dxa"/>
              <w:end w:w="95" w:type="dxa"/>
            </w:tcMar>
            <w:vAlign w:val="center"/>
          </w:tcPr>
          <w:p>
            <w:pPr>
              <w:spacing w:after="0"/>
              <w:jc w:val="left"/>
            </w:pPr>
            <w:r>
              <w:rPr>
                <w:rFonts w:ascii="Times New Roman" w:hAnsi="Times New Roman" w:eastAsia="Times New Roman"/>
                <w:sz w:val="16"/>
              </w:rPr>
              <w:t>Guide</w:t>
            </w:r>
          </w:p>
        </w:tc>
        <w:tc>
          <w:tcPr>
            <w:tcW w:type="dxa" w:w="2041"/>
            <w:tcMar>
              <w:top w:w="85" w:type="dxa"/>
              <w:start w:w="95" w:type="dxa"/>
              <w:bottom w:w="85" w:type="dxa"/>
              <w:end w:w="95" w:type="dxa"/>
            </w:tcMar>
            <w:vAlign w:val="center"/>
          </w:tcPr>
          <w:p>
            <w:pPr>
              <w:spacing w:after="0"/>
              <w:jc w:val="left"/>
            </w:pPr>
            <w:r>
              <w:rPr>
                <w:rFonts w:ascii="Times New Roman" w:hAnsi="Times New Roman" w:eastAsia="Times New Roman"/>
                <w:sz w:val="16"/>
              </w:rPr>
              <w:t>All</w:t>
            </w:r>
          </w:p>
        </w:tc>
        <w:tc>
          <w:tcPr>
            <w:tcW w:type="dxa" w:w="1134"/>
            <w:tcMar>
              <w:top w:w="85" w:type="dxa"/>
              <w:start w:w="95" w:type="dxa"/>
              <w:bottom w:w="85" w:type="dxa"/>
              <w:end w:w="95" w:type="dxa"/>
            </w:tcMar>
            <w:vAlign w:val="center"/>
          </w:tcPr>
          <w:p>
            <w:pPr>
              <w:spacing w:after="0"/>
              <w:jc w:val="left"/>
            </w:pPr>
            <w:r>
              <w:rPr>
                <w:rFonts w:ascii="Times New Roman" w:hAnsi="Times New Roman" w:eastAsia="Times New Roman"/>
                <w:sz w:val="16"/>
              </w:rPr>
              <w:t>All</w:t>
            </w:r>
          </w:p>
        </w:tc>
      </w:tr>
    </w:tbl>
    <w:p>
      <w:pPr>
        <w:spacing w:after="0"/>
      </w:pPr>
    </w:p>
    <w:p>
      <w:pPr>
        <w:pStyle w:val="Heading1"/>
      </w:pPr>
      <w:r>
        <w:t>7 Risk and Contingency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2381"/>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Risk trigger</w:t>
            </w:r>
          </w:p>
        </w:tc>
        <w:tc>
          <w:tcPr>
            <w:tcW w:type="dxa" w:w="3969"/>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Immediate response</w:t>
            </w:r>
          </w:p>
        </w:tc>
        <w:tc>
          <w:tcPr>
            <w:tcW w:type="dxa" w:w="2891"/>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Protected paper contribution</w:t>
            </w:r>
          </w:p>
        </w:tc>
      </w:tr>
      <w:tr>
        <w:tc>
          <w:tcPr>
            <w:tcW w:type="dxa" w:w="2381"/>
            <w:tcMar>
              <w:top w:w="85" w:type="dxa"/>
              <w:start w:w="95" w:type="dxa"/>
              <w:bottom w:w="85" w:type="dxa"/>
              <w:end w:w="95" w:type="dxa"/>
            </w:tcMar>
            <w:vAlign w:val="center"/>
          </w:tcPr>
          <w:p>
            <w:pPr>
              <w:spacing w:after="0"/>
              <w:jc w:val="left"/>
            </w:pPr>
            <w:r>
              <w:rPr>
                <w:rFonts w:ascii="Times New Roman" w:hAnsi="Times New Roman" w:eastAsia="Times New Roman"/>
                <w:sz w:val="16"/>
              </w:rPr>
              <w:t>PPO fails to beat heuristic by Day 13</w:t>
            </w:r>
          </w:p>
        </w:tc>
        <w:tc>
          <w:tcPr>
            <w:tcW w:type="dxa" w:w="3969"/>
            <w:tcMar>
              <w:top w:w="85" w:type="dxa"/>
              <w:start w:w="95" w:type="dxa"/>
              <w:bottom w:w="85" w:type="dxa"/>
              <w:end w:w="95" w:type="dxa"/>
            </w:tcMar>
            <w:vAlign w:val="center"/>
          </w:tcPr>
          <w:p>
            <w:pPr>
              <w:spacing w:after="0"/>
              <w:jc w:val="left"/>
            </w:pPr>
            <w:r>
              <w:rPr>
                <w:rFonts w:ascii="Times New Roman" w:hAnsi="Times New Roman" w:eastAsia="Times New Roman"/>
                <w:sz w:val="16"/>
              </w:rPr>
              <w:t>Stop broad tuning; use learned reranking on a small candidate set or present negative ablation honestly</w:t>
            </w:r>
          </w:p>
        </w:tc>
        <w:tc>
          <w:tcPr>
            <w:tcW w:type="dxa" w:w="2891"/>
            <w:tcMar>
              <w:top w:w="85" w:type="dxa"/>
              <w:start w:w="95" w:type="dxa"/>
              <w:bottom w:w="85" w:type="dxa"/>
              <w:end w:w="95" w:type="dxa"/>
            </w:tcMar>
            <w:vAlign w:val="center"/>
          </w:tcPr>
          <w:p>
            <w:pPr>
              <w:spacing w:after="0"/>
              <w:jc w:val="left"/>
            </w:pPr>
            <w:r>
              <w:rPr>
                <w:rFonts w:ascii="Times New Roman" w:hAnsi="Times New Roman" w:eastAsia="Times New Roman"/>
                <w:sz w:val="16"/>
              </w:rPr>
              <w:t>Proof-backed safe compiler and rigorous evaluation remain</w:t>
            </w:r>
          </w:p>
        </w:tc>
      </w:tr>
      <w:tr>
        <w:tc>
          <w:tcPr>
            <w:tcW w:type="dxa" w:w="238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Training too slow</w:t>
            </w:r>
          </w:p>
        </w:tc>
        <w:tc>
          <w:tcPr>
            <w:tcW w:type="dxa" w:w="3969"/>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Reduce width/curriculum; parallelise environments; freeze deterministic core</w:t>
            </w:r>
          </w:p>
        </w:tc>
        <w:tc>
          <w:tcPr>
            <w:tcW w:type="dxa" w:w="289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Correctness, mapper, scheduler, oracle comparisons</w:t>
            </w:r>
          </w:p>
        </w:tc>
      </w:tr>
      <w:tr>
        <w:tc>
          <w:tcPr>
            <w:tcW w:type="dxa" w:w="2381"/>
            <w:tcMar>
              <w:top w:w="85" w:type="dxa"/>
              <w:start w:w="95" w:type="dxa"/>
              <w:bottom w:w="85" w:type="dxa"/>
              <w:end w:w="95" w:type="dxa"/>
            </w:tcMar>
            <w:vAlign w:val="center"/>
          </w:tcPr>
          <w:p>
            <w:pPr>
              <w:spacing w:after="0"/>
              <w:jc w:val="left"/>
            </w:pPr>
            <w:r>
              <w:rPr>
                <w:rFonts w:ascii="Times New Roman" w:hAnsi="Times New Roman" w:eastAsia="Times New Roman"/>
                <w:sz w:val="16"/>
              </w:rPr>
              <w:t>Equivalence failures</w:t>
            </w:r>
          </w:p>
        </w:tc>
        <w:tc>
          <w:tcPr>
            <w:tcW w:type="dxa" w:w="3969"/>
            <w:tcMar>
              <w:top w:w="85" w:type="dxa"/>
              <w:start w:w="95" w:type="dxa"/>
              <w:bottom w:w="85" w:type="dxa"/>
              <w:end w:w="95" w:type="dxa"/>
            </w:tcMar>
            <w:vAlign w:val="center"/>
          </w:tcPr>
          <w:p>
            <w:pPr>
              <w:spacing w:after="0"/>
              <w:jc w:val="left"/>
            </w:pPr>
            <w:r>
              <w:rPr>
                <w:rFonts w:ascii="Times New Roman" w:hAnsi="Times New Roman" w:eastAsia="Times New Roman"/>
                <w:sz w:val="16"/>
              </w:rPr>
              <w:t>Block experiments; isolate final-layout or direction/decomposition bug</w:t>
            </w:r>
          </w:p>
        </w:tc>
        <w:tc>
          <w:tcPr>
            <w:tcW w:type="dxa" w:w="2891"/>
            <w:tcMar>
              <w:top w:w="85" w:type="dxa"/>
              <w:start w:w="95" w:type="dxa"/>
              <w:bottom w:w="85" w:type="dxa"/>
              <w:end w:w="95" w:type="dxa"/>
            </w:tcMar>
            <w:vAlign w:val="center"/>
          </w:tcPr>
          <w:p>
            <w:pPr>
              <w:spacing w:after="0"/>
              <w:jc w:val="left"/>
            </w:pPr>
            <w:r>
              <w:rPr>
                <w:rFonts w:ascii="Times New Roman" w:hAnsi="Times New Roman" w:eastAsia="Times New Roman"/>
                <w:sz w:val="16"/>
              </w:rPr>
              <w:t>No invalid result enters the paper</w:t>
            </w:r>
          </w:p>
        </w:tc>
      </w:tr>
      <w:tr>
        <w:tc>
          <w:tcPr>
            <w:tcW w:type="dxa" w:w="238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Exact solver times out</w:t>
            </w:r>
          </w:p>
        </w:tc>
        <w:tc>
          <w:tcPr>
            <w:tcW w:type="dxa" w:w="3969"/>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Restrict oracle to tiny instances and report optimality bounds/timeouts</w:t>
            </w:r>
          </w:p>
        </w:tc>
        <w:tc>
          <w:tcPr>
            <w:tcW w:type="dxa" w:w="289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Oracle remains a sanity reference</w:t>
            </w:r>
          </w:p>
        </w:tc>
      </w:tr>
      <w:tr>
        <w:tc>
          <w:tcPr>
            <w:tcW w:type="dxa" w:w="2381"/>
            <w:tcMar>
              <w:top w:w="85" w:type="dxa"/>
              <w:start w:w="95" w:type="dxa"/>
              <w:bottom w:w="85" w:type="dxa"/>
              <w:end w:w="95" w:type="dxa"/>
            </w:tcMar>
            <w:vAlign w:val="center"/>
          </w:tcPr>
          <w:p>
            <w:pPr>
              <w:spacing w:after="0"/>
              <w:jc w:val="left"/>
            </w:pPr>
            <w:r>
              <w:rPr>
                <w:rFonts w:ascii="Times New Roman" w:hAnsi="Times New Roman" w:eastAsia="Times New Roman"/>
                <w:sz w:val="16"/>
              </w:rPr>
              <w:t>Insufficient novelty for Q1/Q2</w:t>
            </w:r>
          </w:p>
        </w:tc>
        <w:tc>
          <w:tcPr>
            <w:tcW w:type="dxa" w:w="3969"/>
            <w:tcMar>
              <w:top w:w="85" w:type="dxa"/>
              <w:start w:w="95" w:type="dxa"/>
              <w:bottom w:w="85" w:type="dxa"/>
              <w:end w:w="95" w:type="dxa"/>
            </w:tcMar>
            <w:vAlign w:val="center"/>
          </w:tcPr>
          <w:p>
            <w:pPr>
              <w:spacing w:after="0"/>
              <w:jc w:val="left"/>
            </w:pPr>
            <w:r>
              <w:rPr>
                <w:rFonts w:ascii="Times New Roman" w:hAnsi="Times New Roman" w:eastAsia="Times New Roman"/>
                <w:sz w:val="16"/>
              </w:rPr>
              <w:t>Strengthen proof-to-implementation linkage and topology-holdout evidence; do not inflate claims</w:t>
            </w:r>
          </w:p>
        </w:tc>
        <w:tc>
          <w:tcPr>
            <w:tcW w:type="dxa" w:w="2891"/>
            <w:tcMar>
              <w:top w:w="85" w:type="dxa"/>
              <w:start w:w="95" w:type="dxa"/>
              <w:bottom w:w="85" w:type="dxa"/>
              <w:end w:w="95" w:type="dxa"/>
            </w:tcMar>
            <w:vAlign w:val="center"/>
          </w:tcPr>
          <w:p>
            <w:pPr>
              <w:spacing w:after="0"/>
              <w:jc w:val="left"/>
            </w:pPr>
            <w:r>
              <w:rPr>
                <w:rFonts w:ascii="Times New Roman" w:hAnsi="Times New Roman" w:eastAsia="Times New Roman"/>
                <w:sz w:val="16"/>
              </w:rPr>
              <w:t>Submission may move to a better-fit venue after advisor review</w:t>
            </w:r>
          </w:p>
        </w:tc>
      </w:tr>
      <w:tr>
        <w:tc>
          <w:tcPr>
            <w:tcW w:type="dxa" w:w="238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One member unavailable</w:t>
            </w:r>
          </w:p>
        </w:tc>
        <w:tc>
          <w:tcPr>
            <w:tcW w:type="dxa" w:w="3969"/>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Reviewer assumes owner role using mandatory handoff artifacts</w:t>
            </w:r>
          </w:p>
        </w:tc>
        <w:tc>
          <w:tcPr>
            <w:tcW w:type="dxa" w:w="289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Daily integration prevents single-person knowledge silos</w:t>
            </w:r>
          </w:p>
        </w:tc>
      </w:tr>
    </w:tbl>
    <w:p>
      <w:pPr>
        <w:spacing w:after="0"/>
      </w:pPr>
    </w:p>
    <w:p>
      <w:pPr>
        <w:pStyle w:val="Heading1"/>
      </w:pPr>
      <w:r>
        <w:t>8 Freeze Checklists</w:t>
      </w:r>
    </w:p>
    <w:p>
      <w:pPr>
        <w:pStyle w:val="Heading2"/>
      </w:pPr>
      <w:r>
        <w:t>8.1 Day 14 Training Freeze</w:t>
      </w:r>
    </w:p>
    <w:p>
      <w:pPr>
        <w:pStyle w:val="ListBullet"/>
        <w:spacing w:after="60"/>
        <w:ind w:left="369" w:hanging="142"/>
      </w:pPr>
      <w:r>
        <w:t>Primary and backup checkpoints selected</w:t>
      </w:r>
    </w:p>
    <w:p>
      <w:pPr>
        <w:pStyle w:val="ListBullet"/>
        <w:spacing w:after="60"/>
        <w:ind w:left="369" w:hanging="142"/>
      </w:pPr>
      <w:r>
        <w:t>Config, environment, split, and source commit hashes recorded</w:t>
      </w:r>
    </w:p>
    <w:p>
      <w:pPr>
        <w:pStyle w:val="ListBullet"/>
        <w:spacing w:after="60"/>
        <w:ind w:left="369" w:hanging="142"/>
      </w:pPr>
      <w:r>
        <w:t>No test data inspected</w:t>
      </w:r>
    </w:p>
    <w:p>
      <w:pPr>
        <w:pStyle w:val="ListBullet"/>
        <w:spacing w:after="60"/>
        <w:ind w:left="369" w:hanging="142"/>
      </w:pPr>
      <w:r>
        <w:t>Reward components and metric code unit-tested</w:t>
      </w:r>
    </w:p>
    <w:p>
      <w:pPr>
        <w:pStyle w:val="ListBullet"/>
        <w:spacing w:after="60"/>
        <w:ind w:left="369" w:hanging="142"/>
      </w:pPr>
      <w:r>
        <w:t>Fallback threshold fixed</w:t>
      </w:r>
    </w:p>
    <w:p>
      <w:pPr>
        <w:pStyle w:val="Heading2"/>
      </w:pPr>
      <w:r>
        <w:t>8.2 Day 17 Results Freeze</w:t>
      </w:r>
    </w:p>
    <w:p>
      <w:pPr>
        <w:pStyle w:val="ListBullet"/>
        <w:spacing w:after="60"/>
        <w:ind w:left="369" w:hanging="142"/>
      </w:pPr>
      <w:r>
        <w:t>All outputs validated</w:t>
      </w:r>
    </w:p>
    <w:p>
      <w:pPr>
        <w:pStyle w:val="ListBullet"/>
        <w:spacing w:after="60"/>
        <w:ind w:left="369" w:hanging="142"/>
      </w:pPr>
      <w:r>
        <w:t>All failures/timeouts included</w:t>
      </w:r>
    </w:p>
    <w:p>
      <w:pPr>
        <w:pStyle w:val="ListBullet"/>
        <w:spacing w:after="60"/>
        <w:ind w:left="369" w:hanging="142"/>
      </w:pPr>
      <w:r>
        <w:t>Ablations complete</w:t>
      </w:r>
    </w:p>
    <w:p>
      <w:pPr>
        <w:pStyle w:val="ListBullet"/>
        <w:spacing w:after="60"/>
        <w:ind w:left="369" w:hanging="142"/>
      </w:pPr>
      <w:r>
        <w:t>Paired statistics regenerated</w:t>
      </w:r>
    </w:p>
    <w:p>
      <w:pPr>
        <w:pStyle w:val="ListBullet"/>
        <w:spacing w:after="60"/>
        <w:ind w:left="369" w:hanging="142"/>
      </w:pPr>
      <w:r>
        <w:t>Claims written with exact numbers and uncertainty</w:t>
      </w:r>
    </w:p>
    <w:p>
      <w:pPr>
        <w:pStyle w:val="ListBullet"/>
        <w:spacing w:after="60"/>
        <w:ind w:left="369" w:hanging="142"/>
      </w:pPr>
      <w:r>
        <w:t>Raw results immutable</w:t>
      </w:r>
    </w:p>
    <w:p>
      <w:pPr>
        <w:pStyle w:val="Heading2"/>
      </w:pPr>
      <w:r>
        <w:t>8.3 Day 21 Submission Freeze</w:t>
      </w:r>
    </w:p>
    <w:p>
      <w:pPr>
        <w:pStyle w:val="ListBullet"/>
        <w:spacing w:after="60"/>
        <w:ind w:left="369" w:hanging="142"/>
      </w:pPr>
      <w:r>
        <w:t>Fresh-clone reproduction passes</w:t>
      </w:r>
    </w:p>
    <w:p>
      <w:pPr>
        <w:pStyle w:val="ListBullet"/>
        <w:spacing w:after="60"/>
        <w:ind w:left="369" w:hanging="142"/>
      </w:pPr>
      <w:r>
        <w:t>Paper source compiles without warnings affecting output</w:t>
      </w:r>
    </w:p>
    <w:p>
      <w:pPr>
        <w:pStyle w:val="ListBullet"/>
        <w:spacing w:after="60"/>
        <w:ind w:left="369" w:hanging="142"/>
      </w:pPr>
      <w:r>
        <w:t>Author names, affiliations, emails, order, and contributions approved</w:t>
      </w:r>
    </w:p>
    <w:p>
      <w:pPr>
        <w:pStyle w:val="ListBullet"/>
        <w:spacing w:after="60"/>
        <w:ind w:left="369" w:hanging="142"/>
      </w:pPr>
      <w:r>
        <w:t>Venue scope/quartile/cost rechecked</w:t>
      </w:r>
    </w:p>
    <w:p>
      <w:pPr>
        <w:pStyle w:val="ListBullet"/>
        <w:spacing w:after="60"/>
        <w:ind w:left="369" w:hanging="142"/>
      </w:pPr>
      <w:r>
        <w:t>Ethics, data, code, conflict, and AI-use statements complete</w:t>
      </w:r>
    </w:p>
    <w:p>
      <w:pPr>
        <w:pStyle w:val="ListBullet"/>
        <w:spacing w:after="60"/>
        <w:ind w:left="369" w:hanging="142"/>
      </w:pPr>
      <w:r>
        <w:t>Repository release archived and cited</w:t>
      </w:r>
    </w:p>
    <w:p>
      <w:pPr>
        <w:pStyle w:val="Heading1"/>
      </w:pPr>
      <w:r>
        <w:t>9 Final Team Rule</w:t>
      </w:r>
    </w:p>
    <w:p>
      <w:r>
        <w:rPr>
          <w:rFonts w:ascii="Times New Roman" w:hAnsi="Times New Roman" w:eastAsia="Times New Roman"/>
          <w:i w:val="0"/>
        </w:rPr>
        <w:t>If a feature does not strengthen the main claim, a proof obligation, a required baseline, or reproducibility, it is out of scope until after submission. Depth minimisation is the headline; safety, correctness, and transparent evidence are what make the headline publishable.</w:t>
      </w:r>
    </w:p>
    <w:sectPr w:rsidR="00FC693F" w:rsidRPr="0006063C" w:rsidSect="00034616">
      <w:headerReference w:type="default" r:id="rId9"/>
      <w:footerReference w:type="default" r:id="rId10"/>
      <w:pgSz w:w="11906" w:h="16838"/>
      <w:pgMar w:top="1134" w:right="1276"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color w:val="505050"/>
        <w:sz w:val="17"/>
      </w:rPr>
      <w:t xml:space="preserve">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i/>
        <w:color w:val="505050"/>
        <w:sz w:val="17"/>
      </w:rPr>
      <w:t>QWeave  |  Team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00" w:line="240" w:lineRule="auto"/>
      <w:ind w:left="369" w:right="19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QWeave Three Week Team Execution Plan</dc:title>
  <dc:subject/>
  <dc:creator>Shrivardhini N; Atharva Sheersh Pandey; Diptesh Das; Haridasu Sreedhar</dc:creator>
  <cp:keywords/>
  <dc:description>generated by python-docx</dc:description>
  <cp:lastModifiedBy/>
  <cp:revision>1</cp:revision>
  <dcterms:created xsi:type="dcterms:W3CDTF">2013-12-23T23:15:00Z</dcterms:created>
  <dcterms:modified xsi:type="dcterms:W3CDTF">2013-12-23T23:15:00Z</dcterms:modified>
  <cp:category/>
</cp:coreProperties>
</file>