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eastAsia="Times New Roman" w:cs="Times New Roman"/>
          <w:color w:val="000000"/>
        </w:rPr>
        <w:t>Revon: A Content-Addressed Versioned Data Store: A Git-Inspired Approach to Structured Data Versioning Using Merkle Hash Tries</w:t>
      </w:r>
    </w:p>
    <w:p>
      <w:pPr>
        <w:widowControl/>
        <w:spacing w:after="0"/>
        <w:ind w:firstLine="0"/>
        <w:jc w:val="center"/>
      </w:pPr>
      <w:r>
        <w:rPr>
          <w:rFonts w:ascii="Times New Roman" w:hAnsi="Times New Roman" w:eastAsia="Times New Roman" w:cs="Times New Roman"/>
          <w:color w:val="000000"/>
          <w:sz w:val="24"/>
        </w:rPr>
        <w:t>Atharva Sheersh Pandey</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Adhyan Jain</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Poornima Nedunchezhian</w:t>
      </w:r>
      <w:r>
        <w:rPr>
          <w:rFonts w:ascii="Times New Roman" w:hAnsi="Times New Roman" w:eastAsia="Times New Roman" w:cs="Times New Roman"/>
          <w:color w:val="000000"/>
          <w:sz w:val="16"/>
          <w:vertAlign w:val="superscript"/>
        </w:rPr>
        <w:t>2</w:t>
      </w:r>
    </w:p>
    <w:p>
      <w:pPr>
        <w:widowControl/>
        <w:spacing w:after="0"/>
        <w:ind w:firstLine="0"/>
        <w:jc w:val="center"/>
      </w:pPr>
      <w:hyperlink r:id="rId11" w:history="1">
        <w:r>
          <w:rPr>
            <w:rFonts w:ascii="Times New Roman" w:hAnsi="Times New Roman" w:eastAsia="Times New Roman" w:cs="Times New Roman"/>
            <w:color w:val="000000"/>
            <w:sz w:val="21"/>
            <w:u w:val="none"/>
          </w:rPr>
          <w:t>atharva.sheersh2024@vitstudent.ac.in</w:t>
        </w:r>
      </w:hyperlink>
      <w:r>
        <w:rPr>
          <w:rFonts w:ascii="Times New Roman" w:hAnsi="Times New Roman" w:eastAsia="Times New Roman" w:cs="Times New Roman"/>
          <w:color w:val="000000"/>
          <w:sz w:val="21"/>
        </w:rPr>
        <w:t xml:space="preserve">; </w:t>
      </w:r>
      <w:hyperlink r:id="rId12" w:history="1">
        <w:r>
          <w:rPr>
            <w:rFonts w:ascii="Times New Roman" w:hAnsi="Times New Roman" w:eastAsia="Times New Roman" w:cs="Times New Roman"/>
            <w:color w:val="000000"/>
            <w:sz w:val="21"/>
            <w:u w:val="none"/>
          </w:rPr>
          <w:t>adhyan.jain2024@vitstudent.ac.in</w:t>
        </w:r>
      </w:hyperlink>
      <w:r>
        <w:rPr>
          <w:rFonts w:ascii="Times New Roman" w:hAnsi="Times New Roman" w:eastAsia="Times New Roman" w:cs="Times New Roman"/>
          <w:color w:val="000000"/>
          <w:sz w:val="21"/>
        </w:rPr>
        <w:t>;</w:t>
      </w:r>
    </w:p>
    <w:p>
      <w:pPr>
        <w:widowControl/>
        <w:spacing w:after="0"/>
        <w:ind w:firstLine="0"/>
        <w:jc w:val="center"/>
      </w:pPr>
      <w:hyperlink r:id="rId13" w:history="1">
        <w:r>
          <w:rPr>
            <w:rFonts w:ascii="Times New Roman" w:hAnsi="Times New Roman" w:eastAsia="Times New Roman" w:cs="Times New Roman"/>
            <w:color w:val="000000"/>
            <w:sz w:val="21"/>
            <w:u w:val="none"/>
          </w:rPr>
          <w:t>poornima.n@vit.ac.in</w:t>
        </w:r>
      </w:hyperlink>
    </w:p>
    <w:p>
      <w:pPr>
        <w:widowControl/>
        <w:spacing w:after="0"/>
        <w:ind w:firstLine="0"/>
        <w:jc w:val="center"/>
      </w:pPr>
      <w:r>
        <w:rPr>
          <w:rFonts w:ascii="Times New Roman" w:hAnsi="Times New Roman" w:eastAsia="Times New Roman" w:cs="Times New Roman"/>
          <w:color w:val="000000"/>
          <w:sz w:val="22"/>
        </w:rPr>
        <w:t>School of Computer Science and Engineering</w:t>
      </w:r>
    </w:p>
    <w:p>
      <w:pPr>
        <w:widowControl/>
        <w:spacing w:after="0"/>
        <w:ind w:firstLine="0"/>
        <w:jc w:val="center"/>
      </w:pPr>
      <w:r>
        <w:rPr>
          <w:rFonts w:ascii="Times New Roman" w:hAnsi="Times New Roman" w:eastAsia="Times New Roman" w:cs="Times New Roman"/>
          <w:color w:val="000000"/>
          <w:sz w:val="22"/>
        </w:rPr>
        <w:t>VIT Vellore</w:t>
      </w:r>
    </w:p>
    <w:p>
      <w:pPr>
        <w:widowControl/>
        <w:sectPr>
          <w:headerReference w:type="default" r:id="rId9"/>
          <w:footerReference w:type="default" r:id="rId10"/>
          <w:pgSz w:w="11906" w:h="16838"/>
          <w:pgMar w:top="1440" w:right="1440" w:bottom="1440" w:left="1440" w:header="432" w:footer="504" w:gutter="0"/>
          <w:cols w:num="1"/>
          <w:docGrid w:linePitch="360"/>
        </w:sectPr>
      </w:pPr>
    </w:p>
    <w:p>
      <w:pPr>
        <w:widowControl/>
        <w:spacing w:after="140"/>
        <w:ind w:firstLine="0"/>
        <w:jc w:val="center"/>
      </w:pPr>
      <w:r>
        <w:rPr>
          <w:rFonts w:ascii="Times New Roman" w:hAnsi="Times New Roman" w:eastAsia="Times New Roman" w:cs="Times New Roman"/>
          <w:b/>
          <w:color w:val="000000"/>
          <w:sz w:val="24"/>
        </w:rPr>
        <w:t>Abstract</w:t>
      </w:r>
    </w:p>
    <w:p>
      <w:pPr>
        <w:widowControl/>
        <w:spacing w:after="80" w:line="240" w:lineRule="exact"/>
        <w:ind w:firstLine="0" w:left="340" w:right="340"/>
        <w:jc w:val="both"/>
      </w:pPr>
      <w:r>
        <w:rPr>
          <w:rFonts w:ascii="Times New Roman" w:hAnsi="Times New Roman" w:eastAsia="Times New Roman" w:cs="Times New Roman"/>
          <w:color w:val="000000"/>
          <w:sz w:val="20"/>
        </w:rPr>
        <w:t>Versioning structured datasets requires durable history, efficient sparse updates, historical reconstruction, and comparison without copying or scanning every record. Revon is a Python prototype built around an immutable fixed-depth Merkle hash trie. A commit rewrites only affected leaf buckets and the union of their ancestor paths; unchanged subtrees are reused by content hash. Revon-H adds addressed changesets and selects between log aggregation and hash-pruned tree differencing using a separately calibrated threshold. We evaluate Snapshot, Log-only, forced-Merkle Revon-M, Revon-H, and Dolt 2.3.1 on identical deterministic workloads up to 100,000 rows. The audited paper run contains 333 successful and correct trials. Under the CLI-facing protocol, Revon-H diff latency was 5.8x to 554.2x lower than Dolt and its incremental commit latency was 2.3x to 37.4x lower, while Revon-H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pPr>
        <w:pStyle w:val="Heading1"/>
        <w:keepNext/>
        <w:widowControl/>
      </w:pPr>
      <w:r>
        <w:rPr>
          <w:rFonts w:ascii="Times New Roman" w:hAnsi="Times New Roman" w:eastAsia="Times New Roman" w:cs="Times New Roman"/>
          <w:color w:val="000000"/>
        </w:rPr>
        <w:t>1  Introduction</w:t>
      </w:r>
    </w:p>
    <w:p>
      <w:pPr>
        <w:widowControl/>
        <w:spacing w:after="0" w:line="272" w:lineRule="exact"/>
        <w:ind w:firstLine="0"/>
        <w:jc w:val="both"/>
      </w:pPr>
      <w:r>
        <w:rPr>
          <w:rFonts w:ascii="Times New Roman" w:hAnsi="Times New Roman" w:eastAsia="Times New Roman" w:cs="Times New Roman"/>
          <w:color w:val="000000"/>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Pr>
            <w:color w:val="0000FF"/>
            <w:u w:val="none"/>
          </w:rPr>
          <w:t>[1]</w:t>
        </w:r>
      </w:hyperlink>
      <w:r>
        <w:rPr>
          <w:rFonts w:ascii="Times New Roman" w:hAnsi="Times New Roman" w:eastAsia="Times New Roman" w:cs="Times New Roman"/>
          <w:color w:val="000000"/>
        </w:rPr>
        <w:t>--but organizes those objects around files and directories. A record store presents a different workload: keys remain stable, update density varies, and two versions may be separated by a handful of edits or by a long sequence of commits.</w:t>
      </w:r>
    </w:p>
    <w:p>
      <w:pPr>
        <w:widowControl/>
        <w:spacing w:after="0" w:line="272" w:lineRule="exact"/>
        <w:ind w:firstLine="216"/>
        <w:jc w:val="both"/>
      </w:pPr>
      <w:r>
        <w:rPr>
          <w:rFonts w:ascii="Times New Roman" w:hAnsi="Times New Roman" w:eastAsia="Times New Roman" w:cs="Times New Roman"/>
          <w:color w:val="000000"/>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pPr>
        <w:widowControl/>
        <w:spacing w:after="0" w:line="272" w:lineRule="exact"/>
        <w:ind w:firstLine="216"/>
        <w:jc w:val="both"/>
      </w:pPr>
      <w:r>
        <w:rPr>
          <w:rFonts w:ascii="Times New Roman" w:hAnsi="Times New Roman" w:eastAsia="Times New Roman" w:cs="Times New Roman"/>
          <w:color w:val="000000"/>
        </w:rPr>
        <w:t xml:space="preserve">Dolt is the production comparator because it combines SQL semantics, a Git-style commit graph, and content-addressed Prolly Trees </w:t>
      </w:r>
      <w:hyperlink w:anchor="ref_dolt_block"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[3]</w:t>
        </w:r>
      </w:hyperlink>
      <w:r>
        <w:rPr>
          <w:rFonts w:ascii="Times New Roman" w:hAnsi="Times New Roman" w:eastAsia="Times New Roman" w:cs="Times New Roman"/>
          <w:color w:val="000000"/>
        </w:rPr>
        <w:t>. Revon is not presented as a feature replacement for Dolt. The comparison instead identifies the performance and storage trade-offs of a smaller instrumentable mechanism under a reproducible CLI-facing protocol.</w:t>
      </w:r>
    </w:p>
    <w:p>
      <w:pPr>
        <w:pStyle w:val="Heading2"/>
        <w:keepNext/>
        <w:widowControl/>
      </w:pPr>
      <w:r>
        <w:rPr>
          <w:rFonts w:ascii="Times New Roman" w:hAnsi="Times New Roman" w:eastAsia="Times New Roman" w:cs="Times New Roman"/>
          <w:color w:val="000000"/>
        </w:rPr>
        <w:t>1.1  Research Questions</w:t>
      </w:r>
    </w:p>
    <w:p>
      <w:pPr>
        <w:pStyle w:val="ListBullet"/>
        <w:widowControl/>
      </w:pPr>
      <w:r>
        <w:rPr>
          <w:rFonts w:ascii="Times New Roman" w:hAnsi="Times New Roman" w:eastAsia="Times New Roman" w:cs="Times New Roman"/>
          <w:color w:val="000000"/>
        </w:rPr>
        <w:t>RQ1: What latency and storage trade-offs does Revon-H exhibit against Snapshot, Log-only, and Dolt across dataset size, mutation density, and locality?</w:t>
      </w:r>
    </w:p>
    <w:p>
      <w:pPr>
        <w:pStyle w:val="ListBullet"/>
        <w:widowControl/>
      </w:pPr>
      <w:r>
        <w:rPr>
          <w:rFonts w:ascii="Times New Roman" w:hAnsi="Times New Roman" w:eastAsia="Times New Roman" w:cs="Times New Roman"/>
          <w:color w:val="000000"/>
        </w:rPr>
        <w:t>RQ2: Does adaptive log/Merkle selection improve diff latency relative to a forced-Merkle ablation without changing correctness?</w:t>
      </w:r>
    </w:p>
    <w:p>
      <w:pPr>
        <w:pStyle w:val="ListBullet"/>
        <w:widowControl/>
      </w:pPr>
      <w:r>
        <w:rPr>
          <w:rFonts w:ascii="Times New Roman" w:hAnsi="Times New Roman" w:eastAsia="Times New Roman" w:cs="Times New Roman"/>
          <w:color w:val="000000"/>
        </w:rPr>
        <w:t>RQ3: How sensitive are fixed-trie latency, storage, and examined work to branching factor and depth?</w:t>
      </w:r>
    </w:p>
    <w:p>
      <w:pPr>
        <w:pStyle w:val="Heading2"/>
        <w:keepNext/>
        <w:widowControl/>
      </w:pPr>
      <w:r>
        <w:rPr>
          <w:rFonts w:ascii="Times New Roman" w:hAnsi="Times New Roman" w:eastAsia="Times New Roman" w:cs="Times New Roman"/>
          <w:color w:val="000000"/>
        </w:rPr>
        <w:t>1.2  Contributions</w:t>
      </w:r>
    </w:p>
    <w:p>
      <w:pPr>
        <w:pStyle w:val="ListBullet"/>
        <w:widowControl/>
      </w:pPr>
      <w:r>
        <w:rPr>
          <w:rFonts w:ascii="Times New Roman" w:hAnsi="Times New Roman" w:eastAsia="Times New Roman" w:cs="Times New Roman"/>
          <w:color w:val="000000"/>
        </w:rPr>
        <w:t>A canonical SHA-256-addressed fixed-depth trie with incremental multi-key path rewriting.</w:t>
      </w:r>
    </w:p>
    <w:p>
      <w:pPr>
        <w:pStyle w:val="ListBullet"/>
        <w:widowControl/>
      </w:pPr>
      <w:r>
        <w:rPr>
          <w:rFonts w:ascii="Times New Roman" w:hAnsi="Times New Roman" w:eastAsia="Times New Roman" w:cs="Times New Roman"/>
          <w:color w:val="000000"/>
        </w:rPr>
        <w:t>A hybrid diff policy combining addressed changesets with hash-pruned tree comparison.</w:t>
      </w:r>
    </w:p>
    <w:p>
      <w:pPr>
        <w:pStyle w:val="ListBullet"/>
        <w:widowControl/>
      </w:pPr>
      <w:r>
        <w:rPr>
          <w:rFonts w:ascii="Times New Roman" w:hAnsi="Times New Roman" w:eastAsia="Times New Roman" w:cs="Times New Roman"/>
          <w:color w:val="000000"/>
        </w:rPr>
        <w:t>An atomic SQLite repository that persists objects, commits, aliases, metrics, and HEAD and verifies hashes after reopen.</w:t>
      </w:r>
    </w:p>
    <w:p>
      <w:pPr>
        <w:pStyle w:val="ListBullet"/>
        <w:widowControl/>
      </w:pPr>
      <w:r>
        <w:rPr>
          <w:rFonts w:ascii="Times New Roman" w:hAnsi="Times New Roman" w:eastAsia="Times New Roman" w:cs="Times New Roman"/>
          <w:color w:val="000000"/>
        </w:rPr>
        <w:t>A five-variant benchmark with shared deterministic workloads, correctness oracles, Dolt integration, raw evidence, and an independently audited summary.</w:t>
      </w:r>
    </w:p>
    <w:p>
      <w:pPr>
        <w:pStyle w:val="ListBullet"/>
        <w:widowControl/>
      </w:pPr>
      <w:r>
        <w:rPr>
          <w:rFonts w:ascii="Times New Roman" w:hAnsi="Times New Roman" w:eastAsia="Times New Roman" w:cs="Times New Roman"/>
          <w:color w:val="000000"/>
        </w:rPr>
        <w:t>A controlled branching-factor/depth sensitivity study that prevents treating b=8, d=4 as universally optimal.</w:t>
      </w:r>
    </w:p>
    <w:p>
      <w:pPr>
        <w:pStyle w:val="Heading1"/>
        <w:keepNext/>
        <w:widowControl/>
      </w:pPr>
      <w:r>
        <w:rPr>
          <w:rFonts w:ascii="Times New Roman" w:hAnsi="Times New Roman" w:eastAsia="Times New Roman" w:cs="Times New Roman"/>
          <w:color w:val="000000"/>
        </w:rPr>
        <w:t>2  Literature Review and Related Work</w:t>
      </w:r>
    </w:p>
    <w:p>
      <w:pPr>
        <w:pStyle w:val="Heading2"/>
        <w:keepNext/>
        <w:widowControl/>
      </w:pPr>
      <w:r>
        <w:rPr>
          <w:rFonts w:ascii="Times New Roman" w:hAnsi="Times New Roman" w:eastAsia="Times New Roman" w:cs="Times New Roman"/>
          <w:color w:val="000000"/>
        </w:rPr>
        <w:t>2.1  Content Addressing and Persistent Structures</w:t>
      </w:r>
    </w:p>
    <w:p>
      <w:pPr>
        <w:widowControl/>
        <w:spacing w:after="0" w:line="272" w:lineRule="exact"/>
        <w:ind w:firstLine="0"/>
        <w:jc w:val="both"/>
      </w:pPr>
      <w:r>
        <w:rPr>
          <w:rFonts w:ascii="Times New Roman" w:hAnsi="Times New Roman" w:eastAsia="Times New Roman" w:cs="Times New Roman"/>
          <w:color w:val="000000"/>
        </w:rPr>
        <w:t xml:space="preserve">Merkle's authenticated tree construction established that a compact root digest can commit to a larger collection </w:t>
      </w:r>
      <w:hyperlink w:anchor="ref_merkle" w:history="1">
        <w:r>
          <w:rPr>
            <w:color w:val="0000FF"/>
            <w:u w:val="none"/>
          </w:rPr>
          <w:t>[4]</w:t>
        </w:r>
      </w:hyperlink>
      <w:r>
        <w:rPr>
          <w:rFonts w:ascii="Times New Roman" w:hAnsi="Times New Roman" w:eastAsia="Times New Roman" w:cs="Times New Roman"/>
          <w:color w:val="000000"/>
        </w:rPr>
        <w:t xml:space="preserve">, while persistent-data-structure theory formalized path copying and bounded-overhead access to historical versions </w:t>
      </w:r>
      <w:hyperlink w:anchor="ref_persistent" w:history="1">
        <w:r>
          <w:rPr>
            <w:color w:val="0000FF"/>
            <w:u w:val="none"/>
          </w:rPr>
          <w:t>[5]</w:t>
        </w:r>
      </w:hyperlink>
      <w:r>
        <w:rPr>
          <w:rFonts w:ascii="Times New Roman" w:hAnsi="Times New Roman" w:eastAsia="Times New Roman" w:cs="Times New Roman"/>
          <w:color w:val="000000"/>
        </w:rPr>
        <w:t xml:space="preserve">. Git applies content-addressed blobs, trees, and commits to software history </w:t>
      </w:r>
      <w:hyperlink w:anchor="ref_git" w:history="1">
        <w:r>
          <w:rPr>
            <w:color w:val="0000FF"/>
            <w:u w:val="none"/>
          </w:rPr>
          <w:t>[1]</w:t>
        </w:r>
      </w:hyperlink>
      <w:r>
        <w:rPr>
          <w:rFonts w:ascii="Times New Roman" w:hAnsi="Times New Roman" w:eastAsia="Times New Roman" w:cs="Times New Roman"/>
          <w:color w:val="000000"/>
        </w:rPr>
        <w:t xml:space="preserve">, and IPFS generalizes content-addressed links into a versionable Merkle DAG </w:t>
      </w:r>
      <w:hyperlink w:anchor="ref_ipfs" w:history="1">
        <w:r>
          <w:rPr>
            <w:color w:val="0000FF"/>
            <w:u w:val="none"/>
          </w:rPr>
          <w:t>[6]</w:t>
        </w:r>
      </w:hyperlink>
      <w:r>
        <w:rPr>
          <w:rFonts w:ascii="Times New Roman" w:hAnsi="Times New Roman" w:eastAsia="Times New Roman" w:cs="Times New Roman"/>
          <w:color w:val="000000"/>
        </w:rPr>
        <w:t>. Revon adopts immutable object identity and parent links, but routes structured keys by hash into a persistent trie rather than mirroring a filesystem hierarchy.</w:t>
      </w:r>
    </w:p>
    <w:p>
      <w:pPr>
        <w:widowControl/>
        <w:spacing w:after="0" w:line="272" w:lineRule="exact"/>
        <w:ind w:firstLine="216"/>
        <w:jc w:val="both"/>
      </w:pPr>
      <w:r>
        <w:rPr>
          <w:rFonts w:ascii="Times New Roman" w:hAnsi="Times New Roman" w:eastAsia="Times New Roman" w:cs="Times New Roman"/>
          <w:color w:val="000000"/>
        </w:rPr>
        <w:t xml:space="preserve">Merkle Search Trees combine search-tree ordering with Merkle authentication for efficient state reconciliation </w:t>
      </w:r>
      <w:hyperlink w:anchor="ref_mst" w:history="1">
        <w:r>
          <w:rPr>
            <w:color w:val="0000FF"/>
            <w:u w:val="none"/>
          </w:rPr>
          <w:t>[7]</w:t>
        </w:r>
      </w:hyperlink>
      <w:r>
        <w:rPr>
          <w:rFonts w:ascii="Times New Roman" w:hAnsi="Times New Roman" w:eastAsia="Times New Roman" w:cs="Times New Roman"/>
          <w:color w:val="000000"/>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Pr>
            <w:color w:val="0000FF"/>
            <w:u w:val="none"/>
          </w:rPr>
          <w:t>[8]</w:t>
        </w:r>
      </w:hyperlink>
      <w:r>
        <w:rPr>
          <w:rFonts w:ascii="Times New Roman" w:hAnsi="Times New Roman" w:eastAsia="Times New Roman" w:cs="Times New Roman"/>
          <w:color w:val="000000"/>
        </w:rPr>
        <w:t>, also explains why history-independent boundaries are a credible storage improvement beyond the current fixed buckets.</w:t>
      </w:r>
    </w:p>
    <w:p>
      <w:pPr>
        <w:pStyle w:val="Heading2"/>
        <w:keepNext/>
        <w:widowControl/>
      </w:pPr>
      <w:r>
        <w:rPr>
          <w:rFonts w:ascii="Times New Roman" w:hAnsi="Times New Roman" w:eastAsia="Times New Roman" w:cs="Times New Roman"/>
          <w:color w:val="000000"/>
        </w:rPr>
        <w:t>2.2  Structured Dataset Versioning</w:t>
      </w:r>
    </w:p>
    <w:p>
      <w:pPr>
        <w:widowControl/>
        <w:spacing w:after="0" w:line="272" w:lineRule="exact"/>
        <w:ind w:firstLine="0"/>
        <w:jc w:val="both"/>
      </w:pPr>
      <w:r>
        <w:rPr>
          <w:rFonts w:ascii="Times New Roman" w:hAnsi="Times New Roman" w:eastAsia="Times New Roman" w:cs="Times New Roman"/>
          <w:color w:val="000000"/>
        </w:rPr>
        <w:t xml:space="preserve">Dataset-versioning research exposes a broader storage-retrieval design space. DataHub motivates collaborative dataset history at scale </w:t>
      </w:r>
      <w:hyperlink w:anchor="ref_datahub" w:history="1">
        <w:r>
          <w:rPr>
            <w:color w:val="0000FF"/>
            <w:u w:val="none"/>
          </w:rPr>
          <w:t>[9]</w:t>
        </w:r>
      </w:hyperlink>
      <w:r>
        <w:rPr>
          <w:rFonts w:ascii="Times New Roman" w:hAnsi="Times New Roman" w:eastAsia="Times New Roman" w:cs="Times New Roman"/>
          <w:color w:val="000000"/>
        </w:rPr>
        <w:t xml:space="preserve">. Decibel integrates branching into a relational storage engine and compares version-first, tuple-first, and hybrid layouts </w:t>
      </w:r>
      <w:hyperlink w:anchor="ref_decibel" w:history="1">
        <w:r>
          <w:rPr>
            <w:color w:val="0000FF"/>
            <w:u w:val="none"/>
          </w:rPr>
          <w:t>[10]</w:t>
        </w:r>
      </w:hyperlink>
      <w:r>
        <w:rPr>
          <w:rFonts w:ascii="Times New Roman" w:hAnsi="Times New Roman" w:eastAsia="Times New Roman" w:cs="Times New Roman"/>
          <w:color w:val="000000"/>
        </w:rPr>
        <w:t xml:space="preserve">. OrpheusDB bolts versioning onto a conventional DBMS and optimizes partitioning for version retrieval </w:t>
      </w:r>
      <w:hyperlink w:anchor="ref_orpheus" w:history="1">
        <w:r>
          <w:rPr>
            <w:color w:val="0000FF"/>
            <w:u w:val="none"/>
          </w:rPr>
          <w:t>[11]</w:t>
        </w:r>
      </w:hyperlink>
      <w:r>
        <w:rPr>
          <w:rFonts w:ascii="Times New Roman" w:hAnsi="Times New Roman" w:eastAsia="Times New Roman" w:cs="Times New Roman"/>
          <w:color w:val="000000"/>
        </w:rPr>
        <w:t xml:space="preserve">. The dataset-versioning model in </w:t>
      </w:r>
      <w:hyperlink w:anchor="ref_versioning" w:history="1">
        <w:r>
          <w:rPr>
            <w:color w:val="0000FF"/>
            <w:u w:val="none"/>
          </w:rPr>
          <w:t>[12]</w:t>
        </w:r>
      </w:hyperlink>
      <w:r>
        <w:rPr>
          <w:rFonts w:ascii="Times New Roman" w:hAnsi="Times New Roman" w:eastAsia="Times New Roman" w:cs="Times New Roman"/>
          <w:color w:val="000000"/>
        </w:rPr>
        <w:t xml:space="preserve"> formalizes the conflict between storing more materialized state and paying more reconstruction cost. Delta Lake represents the complementary log-and-checkpoint design for ACID tables and time travel </w:t>
      </w:r>
      <w:hyperlink w:anchor="ref_delta" w:history="1">
        <w:r>
          <w:rPr>
            <w:color w:val="0000FF"/>
            <w:u w:val="none"/>
          </w:rPr>
          <w:t>[13]</w:t>
        </w:r>
      </w:hyperlink>
      <w:r>
        <w:rPr>
          <w:rFonts w:ascii="Times New Roman" w:hAnsi="Times New Roman" w:eastAsia="Times New Roman" w:cs="Times New Roman"/>
          <w:color w:val="000000"/>
        </w:rPr>
        <w:t>. These systems motivate reporting commit, checkout, diff, and storage together rather than selecting a single metric.</w:t>
      </w:r>
    </w:p>
    <w:p>
      <w:pPr>
        <w:pStyle w:val="Heading2"/>
        <w:keepNext/>
        <w:widowControl/>
      </w:pPr>
      <w:r>
        <w:rPr>
          <w:rFonts w:ascii="Times New Roman" w:hAnsi="Times New Roman" w:eastAsia="Times New Roman" w:cs="Times New Roman"/>
          <w:color w:val="000000"/>
        </w:rPr>
        <w:t>2.3  System Design Gap</w:t>
      </w:r>
    </w:p>
    <w:p>
      <w:pPr>
        <w:widowControl/>
        <w:spacing w:after="0" w:line="272" w:lineRule="exact"/>
        <w:ind w:firstLine="0"/>
        <w:jc w:val="both"/>
      </w:pPr>
      <w:r>
        <w:rPr>
          <w:rFonts w:ascii="Times New Roman" w:hAnsi="Times New Roman" w:eastAsia="Times New Roman" w:cs="Times New Roman"/>
          <w:color w:val="000000"/>
        </w:rPr>
        <w:t xml:space="preserve">Noms represents structured data as a Merkle DAG of immutable chunks and supports efficient diff and synchronization </w:t>
      </w:r>
      <w:hyperlink w:anchor="ref_noms" w:history="1">
        <w:r>
          <w:rPr>
            <w:color w:val="0000FF"/>
            <w:u w:val="none"/>
          </w:rPr>
          <w:t>[14]</w:t>
        </w:r>
      </w:hyperlink>
      <w:r>
        <w:rPr>
          <w:rFonts w:ascii="Times New Roman" w:hAnsi="Times New Roman" w:eastAsia="Times New Roman" w:cs="Times New Roman"/>
          <w:color w:val="000000"/>
        </w:rPr>
        <w:t xml:space="preserve">. ForkBase combines content addressing, fork semantics, and duplicate-content detection for forkable applications </w:t>
      </w:r>
      <w:hyperlink w:anchor="ref_forkbase" w:history="1">
        <w:r>
          <w:rPr>
            <w:color w:val="0000FF"/>
            <w:u w:val="none"/>
          </w:rPr>
          <w:t>[15]</w:t>
        </w:r>
      </w:hyperlink>
      <w:r>
        <w:rPr>
          <w:rFonts w:ascii="Times New Roman" w:hAnsi="Times New Roman" w:eastAsia="Times New Roman" w:cs="Times New Roman"/>
          <w:color w:val="000000"/>
        </w:rPr>
        <w:t xml:space="preserve">. Dolt stores table indexes as content-addressed Prolly Trees: ordered, B-tree-like structures with history-independent chunk boundaries, structural sharing, and native diff </w:t>
      </w:r>
      <w:hyperlink w:anchor="ref_dolt_block"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[3]</w:t>
        </w:r>
      </w:hyperlink>
      <w:r>
        <w:rPr>
          <w:rFonts w:ascii="Times New Roman" w:hAnsi="Times New Roman" w:eastAsia="Times New Roman" w:cs="Times New Roman"/>
          <w:color w:val="000000"/>
        </w:rPr>
        <w:t>. Revon differs by using fixed-depth hash routing and by exposing an explicit alternative operation-log path. This simplifies instrumentation, but gives up Dolt's ordered range behavior, SQL surface, mature branching, merging, and production engineering.</w:t>
      </w:r>
    </w:p>
    <w:tbl>
      <w:tblPr>
        <w:tblW w:type="dxa" w:w="4270"/>
        <w:jc w:val="left"/>
        <w:tblLayout w:type="fixed"/>
        <w:tblLook w:firstColumn="1" w:firstRow="1" w:lastColumn="0" w:lastRow="0" w:noHBand="0" w:noVBand="1" w:val="04A0"/>
        <w:tblInd w:type="dxa" w:w="25"/>
      </w:tblPr>
      <w:tblGrid>
        <w:gridCol w:w="1037"/>
        <w:gridCol w:w="1464"/>
        <w:gridCol w:w="1769"/>
      </w:tblGrid>
      <w:tr>
        <w:trPr>
          <w:cantSplit/>
          <w:tblHeader w:val="true"/>
        </w:trPr>
        <w:tc>
          <w:tcPr>
            <w:tcW w:type="dxa" w:w="1037"/>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Prior work</w:t>
            </w:r>
          </w:p>
        </w:tc>
        <w:tc>
          <w:tcPr>
            <w:tcW w:type="dxa" w:w="14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Core representation</w:t>
            </w:r>
          </w:p>
        </w:tc>
        <w:tc>
          <w:tcPr>
            <w:tcW w:type="dxa" w:w="17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Relationship to Revon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Persistent DS [5]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Path copying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Formal structural-sharing basis</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Git [1]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Object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Identity and commit ancestry; file-oriented</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IPFS [6]</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General content-addressed versioning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MST [7]</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search tree</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Authenticated ordered reconciliation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DataHub [9]</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Version graph</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Collaborative dataset motivation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Decibel [10]</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Relational layouts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Native database branching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OrpheusDB [11]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Partitioned versions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Storage/retrieval optimization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Delta Lake [13]</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Log/checkpoints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ACID time travel at data-lake scale</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Noms [14]</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Structured content addressing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ForkBase [15]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Forkable CAS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 and deduplication semantics</w:t>
            </w:r>
          </w:p>
        </w:tc>
      </w:tr>
      <w:tr>
        <w:trPr>
          <w:cantSplit/>
        </w:trPr>
        <w:tc>
          <w:tcPr>
            <w:tcW w:type="dxa" w:w="1037"/>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DoltHub [2,3]</w:t>
            </w:r>
          </w:p>
        </w:tc>
        <w:tc>
          <w:tcPr>
            <w:tcW w:type="dxa" w:w="14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Prolly Trees</w:t>
            </w:r>
          </w:p>
        </w:tc>
        <w:tc>
          <w:tcPr>
            <w:tcW w:type="dxa" w:w="17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Production SOTA comparator</w:t>
            </w:r>
          </w:p>
        </w:tc>
      </w:tr>
    </w:tbl>
    <w:p>
      <w:pPr>
        <w:pStyle w:val="Caption"/>
        <w:keepNext w:val="0"/>
        <w:widowControl/>
      </w:pPr>
      <w:r>
        <w:rPr>
          <w:rFonts w:ascii="Times New Roman" w:hAnsi="Times New Roman" w:eastAsia="Times New Roman" w:cs="Times New Roman"/>
          <w:color w:val="000000"/>
        </w:rPr>
        <w:t>Table 1: Literature-review matrix and the gap addressed by Revon.</w:t>
      </w:r>
    </w:p>
    <w:p>
      <w:pPr>
        <w:pStyle w:val="Heading2"/>
        <w:keepNext/>
        <w:widowControl/>
      </w:pPr>
      <w:r>
        <w:rPr>
          <w:rFonts w:ascii="Times New Roman" w:hAnsi="Times New Roman" w:eastAsia="Times New Roman" w:cs="Times New Roman"/>
          <w:color w:val="000000"/>
        </w:rPr>
        <w:t>2.4  Design Implications and Research Positioning</w:t>
      </w:r>
    </w:p>
    <w:p>
      <w:pPr>
        <w:widowControl/>
        <w:spacing w:after="0" w:line="272" w:lineRule="exact"/>
        <w:ind w:firstLine="0"/>
        <w:jc w:val="both"/>
      </w:pPr>
      <w:r>
        <w:rPr>
          <w:rFonts w:ascii="Times New Roman" w:hAnsi="Times New Roman" w:eastAsia="Times New Roman" w:cs="Times New Roman"/>
          <w:color w:val="000000"/>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Pr>
            <w:color w:val="0000FF"/>
            <w:u w:val="none"/>
          </w:rPr>
          <w:t>[5]</w:t>
        </w:r>
      </w:hyperlink>
      <w:r>
        <w:rPr>
          <w:rFonts w:ascii="Times New Roman" w:hAnsi="Times New Roman" w:eastAsia="Times New Roman" w:cs="Times New Roman"/>
          <w:color w:val="000000"/>
        </w:rPr>
        <w:t xml:space="preserve">. The storage-versus-recreation model in </w:t>
      </w:r>
      <w:hyperlink w:anchor="ref_versioning" w:history="1">
        <w:r>
          <w:rPr>
            <w:color w:val="0000FF"/>
            <w:u w:val="none"/>
          </w:rPr>
          <w:t>[12]</w:t>
        </w:r>
      </w:hyperlink>
      <w:r>
        <w:rPr>
          <w:rFonts w:ascii="Times New Roman" w:hAnsi="Times New Roman" w:eastAsia="Times New Roman" w:cs="Times New Roman"/>
          <w:color w:val="000000"/>
        </w:rPr>
        <w:t xml:space="preserve"> makes this trade-off explicit. Decibel and OrpheusDB likewise show that one physical layout does not dominate scans, version retrieval, and storage for every branching workload </w:t>
      </w:r>
      <w:hyperlink w:anchor="ref_decibel" w:history="1">
        <w:r>
          <w:rPr>
            <w:color w:val="0000FF"/>
            <w:u w:val="none"/>
          </w:rPr>
          <w:t>[10]</w:t>
        </w:r>
      </w:hyperlink>
      <w:r>
        <w:rPr>
          <w:rFonts w:ascii="Times New Roman" w:hAnsi="Times New Roman" w:eastAsia="Times New Roman" w:cs="Times New Roman"/>
          <w:color w:val="000000"/>
        </w:rPr>
        <w:t xml:space="preserve">, </w:t>
      </w:r>
      <w:hyperlink w:anchor="ref_orpheus" w:history="1">
        <w:r>
          <w:rPr>
            <w:color w:val="0000FF"/>
            <w:u w:val="none"/>
          </w:rPr>
          <w:t>[11]</w:t>
        </w:r>
      </w:hyperlink>
      <w:r>
        <w:rPr>
          <w:rFonts w:ascii="Times New Roman" w:hAnsi="Times New Roman" w:eastAsia="Times New Roman" w:cs="Times New Roman"/>
          <w:color w:val="000000"/>
        </w:rPr>
        <w:t>. For that reason, our evaluation reports import, commit, checkout, diff, and storage rather than using one measurement as a proxy for the system.</w:t>
      </w:r>
    </w:p>
    <w:p>
      <w:pPr>
        <w:widowControl/>
        <w:spacing w:after="0" w:line="272" w:lineRule="exact"/>
        <w:ind w:firstLine="216"/>
        <w:jc w:val="both"/>
      </w:pPr>
      <w:r>
        <w:rPr>
          <w:rFonts w:ascii="Times New Roman" w:hAnsi="Times New Roman" w:eastAsia="Times New Roman" w:cs="Times New Roman"/>
          <w:color w:val="000000"/>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Pr>
            <w:color w:val="0000FF"/>
            <w:u w:val="none"/>
          </w:rPr>
          <w:t>[7]</w:t>
        </w:r>
      </w:hyperlink>
      <w:r>
        <w:rPr>
          <w:rFonts w:ascii="Times New Roman" w:hAnsi="Times New Roman" w:eastAsia="Times New Roman" w:cs="Times New Roman"/>
          <w:color w:val="000000"/>
        </w:rPr>
        <w:t xml:space="preserve">. Noms and Dolt use content-defined boundaries to form history-independent Prolly Trees </w:t>
      </w:r>
      <w:hyperlink w:anchor="ref_noms" w:history="1">
        <w:r>
          <w:rPr>
            <w:color w:val="0000FF"/>
            <w:u w:val="none"/>
          </w:rPr>
          <w:t>[14]</w:t>
        </w:r>
      </w:hyperlink>
      <w:r>
        <w:rPr>
          <w:rFonts w:ascii="Times New Roman" w:hAnsi="Times New Roman" w:eastAsia="Times New Roman" w:cs="Times New Roman"/>
          <w:color w:val="000000"/>
        </w:rPr>
        <w:t xml:space="preserve">, </w:t>
      </w:r>
      <w:hyperlink w:anchor="ref_dolt_prolly" w:history="1">
        <w:r>
          <w:rPr>
            <w:color w:val="0000FF"/>
            <w:u w:val="none"/>
          </w:rPr>
          <w:t>[3]</w:t>
        </w:r>
      </w:hyperlink>
      <w:r>
        <w:rPr>
          <w:rFonts w:ascii="Times New Roman" w:hAnsi="Times New Roman" w:eastAsia="Times New Roman" w:cs="Times New Roman"/>
          <w:color w:val="000000"/>
        </w:rPr>
        <w:t xml:space="preserve">, while ForkBase reuses addressed content across objects, branches, and versions </w:t>
      </w:r>
      <w:hyperlink w:anchor="ref_forkbase" w:history="1">
        <w:r>
          <w:rPr>
            <w:color w:val="0000FF"/>
            <w:u w:val="none"/>
          </w:rPr>
          <w:t>[15]</w:t>
        </w:r>
      </w:hyperlink>
      <w:r>
        <w:rPr>
          <w:rFonts w:ascii="Times New Roman" w:hAnsi="Times New Roman" w:eastAsia="Times New Roman" w:cs="Times New Roman"/>
          <w:color w:val="000000"/>
        </w:rPr>
        <w:t>. Revon chooses fixed hash-derived routes. This choice removes ordered range access and adaptive boundaries, but gives the experiment a stable geometry whose depth and branching factor can be measured.</w:t>
      </w:r>
    </w:p>
    <w:p>
      <w:pPr>
        <w:widowControl/>
        <w:spacing w:after="0" w:line="272" w:lineRule="exact"/>
        <w:ind w:firstLine="216"/>
        <w:jc w:val="both"/>
      </w:pPr>
      <w:r>
        <w:rPr>
          <w:rFonts w:ascii="Times New Roman" w:hAnsi="Times New Roman" w:eastAsia="Times New Roman" w:cs="Times New Roman"/>
          <w:color w:val="000000"/>
        </w:rPr>
        <w:t>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pPr>
        <w:pStyle w:val="Heading1"/>
        <w:keepNext/>
        <w:widowControl/>
      </w:pPr>
      <w:r>
        <w:rPr>
          <w:rFonts w:ascii="Times New Roman" w:hAnsi="Times New Roman" w:eastAsia="Times New Roman" w:cs="Times New Roman"/>
          <w:color w:val="000000"/>
        </w:rPr>
        <w:t>3  Revon Design</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029200" cy="2950464"/>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029200" cy="2950464"/>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1: Revon system architecture and the boundary of its research contribution.</w:t>
      </w:r>
    </w:p>
    <w:p>
      <w:pPr>
        <w:pStyle w:val="Heading2"/>
        <w:keepNext/>
        <w:widowControl/>
      </w:pPr>
      <w:r>
        <w:rPr>
          <w:rFonts w:ascii="Times New Roman" w:hAnsi="Times New Roman" w:eastAsia="Times New Roman" w:cs="Times New Roman"/>
          <w:color w:val="000000"/>
        </w:rPr>
        <w:t>3.1  Addressed Object Model</w:t>
      </w:r>
    </w:p>
    <w:p>
      <w:pPr>
        <w:widowControl/>
        <w:spacing w:after="0" w:line="272" w:lineRule="exact"/>
        <w:ind w:firstLine="0"/>
        <w:jc w:val="both"/>
      </w:pPr>
      <w:r>
        <w:rPr>
          <w:rFonts w:ascii="Times New Roman" w:hAnsi="Times New Roman" w:eastAsia="Times New Roman" w:cs="Times New Roman"/>
          <w:color w:val="000000"/>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pPr>
        <w:pStyle w:val="Heading2"/>
        <w:keepNext/>
        <w:widowControl/>
      </w:pPr>
      <w:r>
        <w:rPr>
          <w:rFonts w:ascii="Times New Roman" w:hAnsi="Times New Roman" w:eastAsia="Times New Roman" w:cs="Times New Roman"/>
          <w:color w:val="000000"/>
        </w:rPr>
        <w:t>3.2  Fixed-Depth Merkle Hash Trie</w:t>
      </w:r>
    </w:p>
    <w:p>
      <w:pPr>
        <w:widowControl/>
        <w:spacing w:after="0" w:line="272" w:lineRule="exact"/>
        <w:ind w:firstLine="0"/>
        <w:jc w:val="both"/>
      </w:pPr>
      <w:r>
        <w:rPr>
          <w:rFonts w:ascii="Times New Roman" w:hAnsi="Times New Roman" w:eastAsia="Times New Roman" w:cs="Times New Roman"/>
          <w:color w:val="000000"/>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pPr>
        <w:pStyle w:val="Heading2"/>
        <w:keepNext/>
        <w:widowControl/>
      </w:pPr>
      <w:r>
        <w:rPr>
          <w:rFonts w:ascii="Times New Roman" w:hAnsi="Times New Roman" w:eastAsia="Times New Roman" w:cs="Times New Roman"/>
          <w:color w:val="000000"/>
        </w:rPr>
        <w:t>3.3  Incremental Hashing and Commit</w:t>
      </w:r>
    </w:p>
    <w:p>
      <w:pPr>
        <w:widowControl/>
        <w:spacing w:after="0" w:line="272" w:lineRule="exact"/>
        <w:ind w:firstLine="0"/>
        <w:jc w:val="both"/>
      </w:pPr>
      <w:r>
        <w:rPr>
          <w:rFonts w:ascii="Times New Roman" w:hAnsi="Times New Roman" w:eastAsia="Times New Roman" w:cs="Times New Roman"/>
          <w:color w:val="000000"/>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029200" cy="2615183"/>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noChangeAspect="1"/>
            </wp:cNvGraphicFramePr>
            <a:graphic>
              <a:graphicData uri="http://schemas.openxmlformats.org/drawingml/2006/picture">
                <pic:pic>
                  <pic:nvPicPr>
                    <pic:cNvPr id="0" name="workflow.png"/>
                    <pic:cNvPicPr/>
                  </pic:nvPicPr>
                  <pic:blipFill>
                    <a:blip r:embed="rId15"/>
                    <a:stretch>
                      <a:fillRect/>
                    </a:stretch>
                  </pic:blipFill>
                  <pic:spPr>
                    <a:xfrm>
                      <a:off x="0" y="0"/>
                      <a:ext cx="5029200" cy="2615183"/>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2: Incremental commit path and adaptive diff decision.</w:t>
      </w:r>
    </w:p>
    <w:p>
      <w:pPr>
        <w:pStyle w:val="Heading2"/>
        <w:keepNext/>
        <w:widowControl/>
      </w:pPr>
      <w:r>
        <w:rPr>
          <w:rFonts w:ascii="Times New Roman" w:hAnsi="Times New Roman" w:eastAsia="Times New Roman" w:cs="Times New Roman"/>
          <w:color w:val="000000"/>
        </w:rPr>
        <w:t>3.4  Hybrid Diff</w:t>
      </w:r>
    </w:p>
    <w:p>
      <w:pPr>
        <w:widowControl/>
        <w:spacing w:after="0" w:line="272" w:lineRule="exact"/>
        <w:ind w:firstLine="0"/>
        <w:jc w:val="both"/>
      </w:pPr>
      <w:r>
        <w:rPr>
          <w:rFonts w:ascii="Times New Roman" w:hAnsi="Times New Roman" w:eastAsia="Times New Roman" w:cs="Times New Roman"/>
          <w:color w:val="000000"/>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pPr>
        <w:pStyle w:val="Heading1"/>
        <w:keepNext/>
        <w:widowControl/>
      </w:pPr>
      <w:r>
        <w:rPr>
          <w:rFonts w:ascii="Times New Roman" w:hAnsi="Times New Roman" w:eastAsia="Times New Roman" w:cs="Times New Roman"/>
          <w:color w:val="000000"/>
        </w:rPr>
        <w:t>4  Experimental Methodology</w:t>
      </w:r>
    </w:p>
    <w:p>
      <w:pPr>
        <w:pStyle w:val="Heading2"/>
        <w:keepNext/>
        <w:widowControl/>
      </w:pPr>
      <w:r>
        <w:rPr>
          <w:rFonts w:ascii="Times New Roman" w:hAnsi="Times New Roman" w:eastAsia="Times New Roman" w:cs="Times New Roman"/>
          <w:color w:val="000000"/>
        </w:rPr>
        <w:t>4.1  Variants and Workloads</w:t>
      </w:r>
    </w:p>
    <w:p>
      <w:pPr>
        <w:widowControl/>
        <w:spacing w:after="0" w:line="272" w:lineRule="exact"/>
        <w:ind w:firstLine="0"/>
        <w:jc w:val="both"/>
      </w:pPr>
      <w:r>
        <w:rPr>
          <w:rFonts w:ascii="Times New Roman" w:hAnsi="Times New Roman" w:eastAsia="Times New Roman" w:cs="Times New Roman"/>
          <w:color w:val="000000"/>
        </w:rPr>
        <w:t>Five implementations receive identical logical states and mutation batches: a complete Snapshot per version, an initial state plus operation-log baseline, forced-Merkle Revon-M, adaptive Revon-H, and Dolt 2.3.1 using a keyed SQL table and native diff. Revon-M is not a headline product variant; it isolates the selector.</w:t>
      </w:r>
    </w:p>
    <w:tbl>
      <w:tblPr>
        <w:tblW w:type="dxa" w:w="4270"/>
        <w:jc w:val="left"/>
        <w:tblLayout w:type="fixed"/>
        <w:tblLook w:firstColumn="1" w:firstRow="1" w:lastColumn="0" w:lastRow="0" w:noHBand="0" w:noVBand="1" w:val="04A0"/>
        <w:tblInd w:type="dxa" w:w="25"/>
      </w:tblPr>
      <w:tblGrid>
        <w:gridCol w:w="1159"/>
        <w:gridCol w:w="725"/>
        <w:gridCol w:w="696"/>
        <w:gridCol w:w="821"/>
        <w:gridCol w:w="869"/>
      </w:tblGrid>
      <w:tr>
        <w:trPr>
          <w:cantSplit/>
          <w:tblHeader w:val="true"/>
        </w:trPr>
        <w:tc>
          <w:tcPr>
            <w:tcW w:type="dxa" w:w="115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25"/>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Rows</w:t>
            </w:r>
          </w:p>
        </w:tc>
        <w:tc>
          <w:tcPr>
            <w:tcW w:type="dxa" w:w="696"/>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Comm.</w:t>
            </w:r>
          </w:p>
        </w:tc>
        <w:tc>
          <w:tcPr>
            <w:tcW w:type="dxa" w:w="82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Changes</w:t>
            </w:r>
          </w:p>
        </w:tc>
        <w:tc>
          <w:tcPr>
            <w:tcW w:type="dxa" w:w="8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Locality</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25"/>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hot</w:t>
            </w:r>
          </w:p>
        </w:tc>
      </w:tr>
    </w:tbl>
    <w:p>
      <w:pPr>
        <w:pStyle w:val="Caption"/>
        <w:keepNext w:val="0"/>
        <w:widowControl/>
      </w:pPr>
      <w:r>
        <w:rPr>
          <w:rFonts w:ascii="Times New Roman" w:hAnsi="Times New Roman" w:eastAsia="Times New Roman" w:cs="Times New Roman"/>
          <w:color w:val="000000"/>
        </w:rPr>
        <w:t>Table 2: Final evaluation workload matrix.</w:t>
      </w:r>
    </w:p>
    <w:p>
      <w:pPr>
        <w:pStyle w:val="Heading2"/>
        <w:keepNext/>
        <w:widowControl/>
      </w:pPr>
      <w:r>
        <w:rPr>
          <w:rFonts w:ascii="Times New Roman" w:hAnsi="Times New Roman" w:eastAsia="Times New Roman" w:cs="Times New Roman"/>
          <w:color w:val="000000"/>
        </w:rPr>
        <w:t>4.2  Measurement Contract</w:t>
      </w:r>
    </w:p>
    <w:p>
      <w:pPr>
        <w:widowControl/>
        <w:spacing w:after="0" w:line="272" w:lineRule="exact"/>
        <w:ind w:firstLine="0"/>
        <w:jc w:val="both"/>
      </w:pPr>
      <w:r>
        <w:rPr>
          <w:rFonts w:ascii="Times New Roman" w:hAnsi="Times New Roman" w:eastAsia="Times New Roman" w:cs="Times New Roman"/>
          <w:color w:val="000000"/>
        </w:rPr>
        <w:t>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normalized across keys, operations, and trie-node pairs.</w:t>
      </w:r>
    </w:p>
    <w:p>
      <w:pPr>
        <w:pStyle w:val="Heading2"/>
        <w:keepNext/>
        <w:widowControl/>
      </w:pPr>
      <w:r>
        <w:rPr>
          <w:rFonts w:ascii="Times New Roman" w:hAnsi="Times New Roman" w:eastAsia="Times New Roman" w:cs="Times New Roman"/>
          <w:color w:val="000000"/>
        </w:rPr>
        <w:t>4.3  Repetition, Calibration, and Integrity</w:t>
      </w:r>
    </w:p>
    <w:p>
      <w:pPr>
        <w:widowControl/>
        <w:spacing w:after="0" w:line="272" w:lineRule="exact"/>
        <w:ind w:firstLine="0"/>
        <w:jc w:val="both"/>
      </w:pPr>
      <w:r>
        <w:rPr>
          <w:rFonts w:ascii="Times New Roman" w:hAnsi="Times New Roman" w:eastAsia="Times New Roman" w:cs="Times New Roman"/>
          <w:color w:val="000000"/>
        </w:rPr>
        <w:t>Before measurement, each configuration runs twice without contributing samples. The next seven trials are recorded, using base seed 20260822. For every adapter we regenerate the workload and compare its SHA-256 digest with the manifest before execution. Calibration uses a separate workload set. Reported medians and quartiles exclude warmups. The recorded run identifier is 7048cc1674dc4038a8e42c87818b9088; it was produced on Windows-11-10.0.26200-SP0 with Python 3.14.3. A separate audit rebuilt the trial matrix from the raw CSV and recalculated every summary value.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4800600" cy="2700338"/>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noChangeAspect="1"/>
            </wp:cNvGraphicFramePr>
            <a:graphic>
              <a:graphicData uri="http://schemas.openxmlformats.org/drawingml/2006/picture">
                <pic:pic>
                  <pic:nvPicPr>
                    <pic:cNvPr id="0" name="calibration.png"/>
                    <pic:cNvPicPr/>
                  </pic:nvPicPr>
                  <pic:blipFill>
                    <a:blip r:embed="rId16"/>
                    <a:stretch>
                      <a:fillRect/>
                    </a:stretch>
                  </pic:blipFill>
                  <pic:spPr>
                    <a:xfrm>
                      <a:off x="0" y="0"/>
                      <a:ext cx="4800600" cy="2700338"/>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3: Independent threshold calibration; 4,096 is the largest sampled log-favorable point.</w:t>
      </w:r>
    </w:p>
    <w:p>
      <w:pPr>
        <w:widowControl/>
        <w:spacing w:after="0" w:line="272" w:lineRule="exact"/>
        <w:ind w:firstLine="216"/>
        <w:jc w:val="both"/>
      </w:pPr>
      <w:r>
        <w:rPr>
          <w:rFonts w:ascii="Times New Roman" w:hAnsi="Times New Roman" w:eastAsia="Times New Roman" w:cs="Times New Roman"/>
          <w:color w:val="000000"/>
        </w:rPr>
        <w:t>The boundary is a frozen policy for this machine, not proof that the true crossover is exactly 4,096. All 333 paper-profile rows completed with status ok and correctness true. The audit retained all 83 Tukey outlier candidates; no observation was manually deleted.</w:t>
      </w:r>
    </w:p>
    <w:p>
      <w:pPr>
        <w:pStyle w:val="Heading1"/>
        <w:keepNext/>
        <w:widowControl/>
      </w:pPr>
      <w:r>
        <w:rPr>
          <w:rFonts w:ascii="Times New Roman" w:hAnsi="Times New Roman" w:eastAsia="Times New Roman" w:cs="Times New Roman"/>
          <w:color w:val="000000"/>
        </w:rPr>
        <w:t>5  Results</w:t>
      </w:r>
    </w:p>
    <w:p>
      <w:pPr>
        <w:pStyle w:val="Heading2"/>
        <w:keepNext/>
        <w:widowControl/>
      </w:pPr>
      <w:r>
        <w:rPr>
          <w:rFonts w:ascii="Times New Roman" w:hAnsi="Times New Roman" w:eastAsia="Times New Roman" w:cs="Times New Roman"/>
          <w:color w:val="000000"/>
        </w:rPr>
        <w:t>5.1  Final Diff Performance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4800600" cy="2728762"/>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noChangeAspect="1"/>
            </wp:cNvGraphicFramePr>
            <a:graphic>
              <a:graphicData uri="http://schemas.openxmlformats.org/drawingml/2006/picture">
                <pic:pic>
                  <pic:nvPicPr>
                    <pic:cNvPr id="0" name="diff_results.png"/>
                    <pic:cNvPicPr/>
                  </pic:nvPicPr>
                  <pic:blipFill>
                    <a:blip r:embed="rId17"/>
                    <a:stretch>
                      <a:fillRect/>
                    </a:stretch>
                  </pic:blipFill>
                  <pic:spPr>
                    <a:xfrm>
                      <a:off x="0" y="0"/>
                      <a:ext cx="4800600" cy="2728762"/>
                    </a:xfrm>
                    <a:prstGeom prst="rect"/>
                  </pic:spPr>
                </pic:pic>
              </a:graphicData>
            </a:graphic>
          </wp:inline>
        </w:drawing>
      </w:r>
    </w:p>
    <w:p>
      <w:pPr>
        <w:pStyle w:val="Caption"/>
        <w:keepNext w:val="0"/>
        <w:widowControl/>
        <w:spacing w:before="80"/>
      </w:pPr>
      <w:r>
        <w:rPr>
          <w:rFonts w:ascii="Times New Roman" w:hAnsi="Times New Roman" w:eastAsia="Times New Roman" w:cs="Times New Roman"/>
          <w:color w:val="000000"/>
        </w:rPr>
        <w:t>Figure 4: Final diff latency from the audited CSV bundle; lower is better.</w:t>
      </w:r>
    </w:p>
    <w:tbl>
      <w:tblPr>
        <w:tblW w:type="dxa" w:w="4270"/>
        <w:jc w:val="left"/>
        <w:tblLayout w:type="fixed"/>
        <w:tblLook w:firstColumn="1" w:firstRow="1" w:lastColumn="0" w:lastRow="0" w:noHBand="0" w:noVBand="1" w:val="04A0"/>
        <w:tblInd w:type="dxa" w:w="25"/>
      </w:tblPr>
      <w:tblGrid>
        <w:gridCol w:w="1271"/>
        <w:gridCol w:w="712"/>
        <w:gridCol w:w="732"/>
        <w:gridCol w:w="864"/>
        <w:gridCol w:w="691"/>
      </w:tblGrid>
      <w:tr>
        <w:trPr>
          <w:cantSplit/>
          <w:tblHeader w:val="true"/>
        </w:trPr>
        <w:tc>
          <w:tcPr>
            <w:tcW w:type="dxa" w:w="127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1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Path</w:t>
            </w:r>
          </w:p>
        </w:tc>
        <w:tc>
          <w:tcPr>
            <w:tcW w:type="dxa" w:w="73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H ms</w:t>
            </w:r>
          </w:p>
        </w:tc>
        <w:tc>
          <w:tcPr>
            <w:tcW w:type="dxa" w:w="8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Dolt ms</w:t>
            </w:r>
          </w:p>
        </w:tc>
        <w:tc>
          <w:tcPr>
            <w:tcW w:type="dxa" w:w="69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Ratio</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0.417</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188.91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453.3x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0.553</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306.47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554.2x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56.496</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326.01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3.082</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180.77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58.7x</w:t>
            </w:r>
          </w:p>
        </w:tc>
      </w:tr>
      <w:tr>
        <w:trPr>
          <w:cantSplit/>
        </w:trPr>
        <w:tc>
          <w:tcPr>
            <w:tcW w:type="dxa" w:w="127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1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2.031</w:t>
            </w:r>
          </w:p>
        </w:tc>
        <w:tc>
          <w:tcPr>
            <w:tcW w:type="dxa" w:w="8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182.41</w:t>
            </w:r>
          </w:p>
        </w:tc>
        <w:tc>
          <w:tcPr>
            <w:tcW w:type="dxa" w:w="69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89.8x</w:t>
            </w:r>
          </w:p>
        </w:tc>
      </w:tr>
    </w:tbl>
    <w:p>
      <w:pPr>
        <w:pStyle w:val="Caption"/>
        <w:keepNext w:val="0"/>
        <w:widowControl/>
      </w:pPr>
      <w:r>
        <w:rPr>
          <w:rFonts w:ascii="Times New Roman" w:hAnsi="Times New Roman" w:eastAsia="Times New Roman" w:cs="Times New Roman"/>
          <w:color w:val="000000"/>
        </w:rPr>
        <w:t>Table 3: Revon-H versus Dolt median diff latency.</w:t>
      </w:r>
    </w:p>
    <w:p>
      <w:pPr>
        <w:widowControl/>
        <w:spacing w:after="0" w:line="272" w:lineRule="exact"/>
        <w:ind w:firstLine="216"/>
        <w:jc w:val="both"/>
      </w:pPr>
      <w:r>
        <w:rPr>
          <w:rFonts w:ascii="Times New Roman" w:hAnsi="Times New Roman" w:eastAsia="Times New Roman" w:cs="Times New Roman"/>
          <w:color w:val="000000"/>
        </w:rPr>
        <w:t>Revon-H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pPr>
        <w:pStyle w:val="Heading2"/>
        <w:keepNext/>
        <w:widowControl/>
      </w:pPr>
      <w:r>
        <w:rPr>
          <w:rFonts w:ascii="Times New Roman" w:hAnsi="Times New Roman" w:eastAsia="Times New Roman" w:cs="Times New Roman"/>
          <w:color w:val="000000"/>
        </w:rPr>
        <w:t>5.2  Hybrid Ablation</w:t>
      </w:r>
    </w:p>
    <w:p>
      <w:pPr>
        <w:widowControl/>
        <w:spacing w:after="0" w:line="272" w:lineRule="exact"/>
        <w:ind w:firstLine="0"/>
        <w:jc w:val="both"/>
      </w:pPr>
      <w:r>
        <w:rPr>
          <w:rFonts w:ascii="Times New Roman" w:hAnsi="Times New Roman" w:eastAsia="Times New Roman" w:cs="Times New Roman"/>
          <w:color w:val="000000"/>
        </w:rPr>
        <w:t>For log-selected workloads, Revon-H reduced median diff latency relative to forced-Merkle Revon-M by 6.0x (small sparse), 8.7x (medium sparse), 8.8x (large sparse), and 10.0x (large hot). In medium-dense, both used Merkle and Revon-H was within 7.3% of the forced variant. This supports the selector's intended mechanism without claiming that its threshold is hardware-independent.</w:t>
      </w:r>
    </w:p>
    <w:p>
      <w:pPr>
        <w:pStyle w:val="Heading2"/>
        <w:keepNext/>
        <w:widowControl/>
      </w:pPr>
      <w:r>
        <w:rPr>
          <w:rFonts w:ascii="Times New Roman" w:hAnsi="Times New Roman" w:eastAsia="Times New Roman" w:cs="Times New Roman"/>
          <w:color w:val="000000"/>
        </w:rPr>
        <w:t>5.3  Commit, Checkout, and Storage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120640" cy="2641172"/>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noChangeAspect="1"/>
            </wp:cNvGraphicFramePr>
            <a:graphic>
              <a:graphicData uri="http://schemas.openxmlformats.org/drawingml/2006/picture">
                <pic:pic>
                  <pic:nvPicPr>
                    <pic:cNvPr id="0" name="operational_results.png"/>
                    <pic:cNvPicPr/>
                  </pic:nvPicPr>
                  <pic:blipFill>
                    <a:blip r:embed="rId18"/>
                    <a:stretch>
                      <a:fillRect/>
                    </a:stretch>
                  </pic:blipFill>
                  <pic:spPr>
                    <a:xfrm>
                      <a:off x="0" y="0"/>
                      <a:ext cx="5120640" cy="2641172"/>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5: Revon-H and Dolt operational latency; lower is better.</w:t>
      </w:r>
    </w:p>
    <w:p>
      <w:pPr>
        <w:widowControl/>
        <w:spacing w:after="0" w:line="272" w:lineRule="exact"/>
        <w:ind w:firstLine="216"/>
        <w:jc w:val="both"/>
      </w:pPr>
      <w:r>
        <w:rPr>
          <w:rFonts w:ascii="Times New Roman" w:hAnsi="Times New Roman" w:eastAsia="Times New Roman" w:cs="Times New Roman"/>
          <w:color w:val="000000"/>
        </w:rPr>
        <w:t>Revon-H incremental commit medians were 2.3x to 37.4x lower than Dolt, and checkout medians were 35.8x to 123.4x lower. Initial import was mixed: Revon-H was 4.9x faster for small sparse and 1.14x faster for medium sparse, approximately tied for medium dense, and 2.73x to 2.79x slower at 100,000 rows. The latency advantage is therefore not uniform.</w:t>
      </w:r>
    </w:p>
    <w:p>
      <w:pPr>
        <w:widowControl/>
        <w:spacing w:after="0" w:line="272" w:lineRule="exact"/>
        <w:ind w:firstLine="216"/>
        <w:jc w:val="both"/>
      </w:pPr>
      <w:r>
        <w:rPr>
          <w:rFonts w:ascii="Times New Roman" w:hAnsi="Times New Roman" w:eastAsia="Times New Roman" w:cs="Times New Roman"/>
          <w:color w:val="000000"/>
        </w:rPr>
        <w:t>Revon-H paid a consistent storage cost. Its median repository footprint was 1.83x, 3.16x, 2.19x, 4.10x, and 6.43x Dolt's for small sparse through large hot, respectively. The 100,000-row Revon repositories occupied about 34.4 MiB. This reflects inline values, JSON object encoding, and the absence of compact chunk packing and garbage collection.</w:t>
      </w:r>
    </w:p>
    <w:p>
      <w:pPr>
        <w:pStyle w:val="Heading2"/>
        <w:keepNext/>
        <w:widowControl/>
      </w:pPr>
      <w:r>
        <w:rPr>
          <w:rFonts w:ascii="Times New Roman" w:hAnsi="Times New Roman" w:eastAsia="Times New Roman" w:cs="Times New Roman"/>
          <w:color w:val="000000"/>
        </w:rPr>
        <w:t>5.4  Trie-Parameter Sensitivity</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4800600" cy="2700338"/>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noChangeAspect="1"/>
            </wp:cNvGraphicFramePr>
            <a:graphic>
              <a:graphicData uri="http://schemas.openxmlformats.org/drawingml/2006/picture">
                <pic:pic>
                  <pic:nvPicPr>
                    <pic:cNvPr id="0" name="sensitivity.png"/>
                    <pic:cNvPicPr/>
                  </pic:nvPicPr>
                  <pic:blipFill>
                    <a:blip r:embed="rId19"/>
                    <a:stretch>
                      <a:fillRect/>
                    </a:stretch>
                  </pic:blipFill>
                  <pic:spPr>
                    <a:xfrm>
                      <a:off x="0" y="0"/>
                      <a:ext cx="4800600" cy="2700338"/>
                    </a:xfrm>
                    <a:prstGeom prst="rect"/>
                  </pic:spPr>
                </pic:pic>
              </a:graphicData>
            </a:graphic>
          </wp:inline>
        </w:drawing>
      </w:r>
    </w:p>
    <w:p>
      <w:pPr>
        <w:pStyle w:val="Caption"/>
        <w:keepNext w:val="0"/>
        <w:widowControl/>
        <w:spacing w:before="80"/>
      </w:pPr>
      <w:r>
        <w:rPr>
          <w:rFonts w:ascii="Times New Roman" w:hAnsi="Times New Roman" w:eastAsia="Times New Roman" w:cs="Times New Roman"/>
          <w:color w:val="000000"/>
        </w:rPr>
        <w:t>Figure 6: Fixed-trie sensitivity; the preferred point depends on the objective.</w:t>
      </w:r>
    </w:p>
    <w:p>
      <w:pPr>
        <w:widowControl/>
        <w:spacing w:after="0" w:line="272" w:lineRule="exact"/>
        <w:ind w:firstLine="216"/>
        <w:jc w:val="both"/>
      </w:pPr>
      <w:r>
        <w:rPr>
          <w:rFonts w:ascii="Times New Roman" w:hAnsi="Times New Roman" w:eastAsia="Times New Roman" w:cs="Times New Roman"/>
          <w:color w:val="000000"/>
        </w:rPr>
        <w:t>All 45 sensitivity trials were correct. The b8-d3 configuration delivered the lowest median diff latency (36.09 ms versus 52.65 ms for b8-d4) and compared 84.3% fewer node pairs, but consumed 61.9% more storage and examined three times as many leaf entries. The current b8-d4 default used the least storage (4.26 MiB). The over-deep b8-d5 design was slower for every timed operation and used 44.9% more storage. Thus b8-d4 is a storage-conscious balanced default, not a universal optimum.</w:t>
      </w:r>
    </w:p>
    <w:p>
      <w:pPr>
        <w:pStyle w:val="Heading1"/>
        <w:keepNext/>
        <w:widowControl/>
      </w:pPr>
      <w:r>
        <w:rPr>
          <w:rFonts w:ascii="Times New Roman" w:hAnsi="Times New Roman" w:eastAsia="Times New Roman" w:cs="Times New Roman"/>
          <w:color w:val="000000"/>
        </w:rPr>
        <w:t>6  Discussion</w:t>
      </w:r>
    </w:p>
    <w:p>
      <w:pPr>
        <w:widowControl/>
        <w:spacing w:after="0" w:line="272" w:lineRule="exact"/>
        <w:ind w:firstLine="0"/>
        <w:jc w:val="both"/>
      </w:pPr>
      <w:r>
        <w:rPr>
          <w:rFonts w:ascii="Times New Roman" w:hAnsi="Times New Roman" w:eastAsia="Times New Roman" w:cs="Times New Roman"/>
          <w:color w:val="000000"/>
        </w:rPr>
        <w:t>The results answer RQ1 with a trade-off rather than a single winner. Revon-H offered low diff, commit, and checkout latency under the benchmark interface, but its import advantage disappeared at 100,000 rows and its repository was always larger than Dolt's. Snapshot and Log-only also remain relevant baselines: their simpler representations often reduced import or storage cost. Snapshot comparison, however, grew with the number of materialized keys.</w:t>
      </w:r>
    </w:p>
    <w:p>
      <w:pPr>
        <w:widowControl/>
        <w:spacing w:after="0" w:line="272" w:lineRule="exact"/>
        <w:ind w:firstLine="216"/>
        <w:jc w:val="both"/>
      </w:pPr>
      <w:r>
        <w:rPr>
          <w:rFonts w:ascii="Times New Roman" w:hAnsi="Times New Roman" w:eastAsia="Times New Roman" w:cs="Times New Roman"/>
          <w:color w:val="000000"/>
        </w:rPr>
        <w:t>RQ2 is supported more directly. Because Revon-H and Revon-M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pPr>
        <w:widowControl/>
        <w:spacing w:after="0" w:line="272" w:lineRule="exact"/>
        <w:ind w:firstLine="216"/>
        <w:jc w:val="both"/>
      </w:pPr>
      <w:r>
        <w:rPr>
          <w:rFonts w:ascii="Times New Roman" w:hAnsi="Times New Roman" w:eastAsia="Times New Roman" w:cs="Times New Roman"/>
          <w:color w:val="000000"/>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pPr>
        <w:widowControl/>
        <w:spacing w:after="0" w:line="272" w:lineRule="exact"/>
        <w:ind w:firstLine="216"/>
        <w:jc w:val="both"/>
      </w:pPr>
      <w:r>
        <w:rPr>
          <w:rFonts w:ascii="Times New Roman" w:hAnsi="Times New Roman" w:eastAsia="Times New Roman" w:cs="Times New Roman"/>
          <w:color w:val="000000"/>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pPr>
        <w:pStyle w:val="Heading1"/>
        <w:keepNext/>
        <w:widowControl/>
      </w:pPr>
      <w:r>
        <w:rPr>
          <w:rFonts w:ascii="Times New Roman" w:hAnsi="Times New Roman" w:eastAsia="Times New Roman" w:cs="Times New Roman"/>
          <w:color w:val="000000"/>
        </w:rPr>
        <w:t>7  Limitations and Threats to Validity</w:t>
      </w:r>
    </w:p>
    <w:p>
      <w:pPr>
        <w:pStyle w:val="ListBullet"/>
        <w:widowControl/>
      </w:pPr>
      <w:r>
        <w:rPr>
          <w:rFonts w:ascii="Times New Roman" w:hAnsi="Times New Roman" w:eastAsia="Times New Roman" w:cs="Times New Roman"/>
          <w:color w:val="000000"/>
        </w:rPr>
        <w:t>Runtime and interface asymmetry: Revon executes in-process in Python, whereas Dolt is a mature Go executable invoked repeatedly through CLI and SQL interfaces.</w:t>
      </w:r>
    </w:p>
    <w:p>
      <w:pPr>
        <w:pStyle w:val="ListBullet"/>
        <w:widowControl/>
      </w:pPr>
      <w:r>
        <w:rPr>
          <w:rFonts w:ascii="Times New Roman" w:hAnsi="Times New Roman" w:eastAsia="Times New Roman" w:cs="Times New Roman"/>
          <w:color w:val="000000"/>
        </w:rPr>
        <w:t>Feature asymmetry: Revon supports one writer and a linear history, but not SQL, branches, merges, remotes, schema evolution, or production concurrency.</w:t>
      </w:r>
    </w:p>
    <w:p>
      <w:pPr>
        <w:pStyle w:val="ListBullet"/>
        <w:widowControl/>
      </w:pPr>
      <w:r>
        <w:rPr>
          <w:rFonts w:ascii="Times New Roman" w:hAnsi="Times New Roman" w:eastAsia="Times New Roman" w:cs="Times New Roman"/>
          <w:color w:val="000000"/>
        </w:rPr>
        <w:t>Synthetic scope: the deterministic key/value workloads reach 100,000 rows, but cannot represent every real schema, key skew, payload size, or history length.</w:t>
      </w:r>
    </w:p>
    <w:p>
      <w:pPr>
        <w:pStyle w:val="ListBullet"/>
        <w:widowControl/>
      </w:pPr>
      <w:r>
        <w:rPr>
          <w:rFonts w:ascii="Times New Roman" w:hAnsi="Times New Roman" w:eastAsia="Times New Roman" w:cs="Times New Roman"/>
          <w:color w:val="000000"/>
        </w:rPr>
        <w:t>Single environment: all results were obtained on one Windows 11 machine, where cache state, scheduling, filesystem behavior, and antivirus activity can affect short measurements.</w:t>
      </w:r>
    </w:p>
    <w:p>
      <w:pPr>
        <w:pStyle w:val="ListBullet"/>
        <w:widowControl/>
      </w:pPr>
      <w:r>
        <w:rPr>
          <w:rFonts w:ascii="Times New Roman" w:hAnsi="Times New Roman" w:eastAsia="Times New Roman" w:cs="Times New Roman"/>
          <w:color w:val="000000"/>
        </w:rPr>
        <w:t>Calibration boundary: 4,096 is the largest sampled operation count that favored the log; this does not establish a universal crossover.</w:t>
      </w:r>
    </w:p>
    <w:p>
      <w:pPr>
        <w:pStyle w:val="ListBullet"/>
        <w:widowControl/>
      </w:pPr>
      <w:r>
        <w:rPr>
          <w:rFonts w:ascii="Times New Roman" w:hAnsi="Times New Roman" w:eastAsia="Times New Roman" w:cs="Times New Roman"/>
          <w:color w:val="000000"/>
        </w:rPr>
        <w:t>Memory comparability: Python tracemalloc and Dolt process-memory readings are not equivalent, so no cross-system memory graph is reported.</w:t>
      </w:r>
    </w:p>
    <w:p>
      <w:pPr>
        <w:pStyle w:val="ListBullet"/>
        <w:widowControl/>
      </w:pPr>
      <w:r>
        <w:rPr>
          <w:rFonts w:ascii="Times New Roman" w:hAnsi="Times New Roman" w:eastAsia="Times New Roman" w:cs="Times New Roman"/>
          <w:color w:val="000000"/>
        </w:rPr>
        <w:t>Work-unit mismatch: keys, log operations, trie-node pairs, and Dolt's internal work do not form a single normalized measure.</w:t>
      </w:r>
    </w:p>
    <w:p>
      <w:pPr>
        <w:pStyle w:val="ListBullet"/>
        <w:widowControl/>
      </w:pPr>
      <w:r>
        <w:rPr>
          <w:rFonts w:ascii="Times New Roman" w:hAnsi="Times New Roman" w:eastAsia="Times New Roman" w:cs="Times New Roman"/>
          <w:color w:val="000000"/>
        </w:rPr>
        <w:t>Outlier policy: all 83 Tukey candidates were kept. Medians and interquartile ranges limit their influence, but seven measured trials do not demonstrate normality.</w:t>
      </w:r>
    </w:p>
    <w:p>
      <w:pPr>
        <w:pStyle w:val="Heading1"/>
        <w:keepNext/>
        <w:widowControl/>
      </w:pPr>
      <w:r>
        <w:rPr>
          <w:rFonts w:ascii="Times New Roman" w:hAnsi="Times New Roman" w:eastAsia="Times New Roman" w:cs="Times New Roman"/>
          <w:color w:val="000000"/>
        </w:rPr>
        <w:t>8  Future Work</w:t>
      </w:r>
    </w:p>
    <w:p>
      <w:pPr>
        <w:widowControl/>
        <w:spacing w:after="0" w:line="272" w:lineRule="exact"/>
        <w:ind w:firstLine="0"/>
        <w:jc w:val="both"/>
      </w:pPr>
      <w:r>
        <w:rPr>
          <w:rFonts w:ascii="Times New Roman" w:hAnsi="Times New Roman" w:eastAsia="Times New Roman" w:cs="Times New Roman"/>
          <w:color w:val="000000"/>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pPr>
        <w:widowControl/>
        <w:spacing w:after="0" w:line="272" w:lineRule="exact"/>
        <w:ind w:firstLine="216"/>
        <w:jc w:val="both"/>
      </w:pPr>
      <w:r>
        <w:rPr>
          <w:rFonts w:ascii="Times New Roman" w:hAnsi="Times New Roman" w:eastAsia="Times New Roman" w:cs="Times New Roman"/>
          <w:color w:val="000000"/>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pPr>
        <w:widowControl/>
        <w:spacing w:after="0" w:line="272" w:lineRule="exact"/>
        <w:ind w:firstLine="216"/>
        <w:jc w:val="both"/>
      </w:pPr>
      <w:r>
        <w:rPr>
          <w:rFonts w:ascii="Times New Roman" w:hAnsi="Times New Roman" w:eastAsia="Times New Roman" w:cs="Times New Roman"/>
          <w:color w:val="000000"/>
        </w:rPr>
        <w:t>To move beyond a linear prototype, Revon still needs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pPr>
        <w:widowControl/>
        <w:spacing w:after="0"/>
      </w:pPr>
      <w:r>
        <w:rPr>
          <w:rFonts w:ascii="Times New Roman" w:hAnsi="Times New Roman" w:eastAsia="Times New Roman" w:cs="Times New Roman"/>
          <w:color w:val="000000"/>
        </w:rPr>
        <w:br w:type="page"/>
      </w:r>
    </w:p>
    <w:p>
      <w:pPr>
        <w:pStyle w:val="Heading1"/>
        <w:keepNext/>
        <w:widowControl/>
      </w:pPr>
      <w:r>
        <w:rPr>
          <w:rFonts w:ascii="Times New Roman" w:hAnsi="Times New Roman" w:eastAsia="Times New Roman" w:cs="Times New Roman"/>
          <w:color w:val="000000"/>
        </w:rPr>
        <w:t>9  Conclusion</w:t>
      </w:r>
    </w:p>
    <w:p>
      <w:pPr>
        <w:widowControl/>
        <w:spacing w:after="0" w:line="272" w:lineRule="exact"/>
        <w:ind w:firstLine="0"/>
        <w:jc w:val="both"/>
      </w:pPr>
      <w:r>
        <w:rPr>
          <w:rFonts w:ascii="Times New Roman" w:hAnsi="Times New Roman" w:eastAsia="Times New Roman" w:cs="Times New Roman"/>
          <w:color w:val="000000"/>
        </w:rPr>
        <w:t>Revon demonstrates a complete content-addressed versioning path for structured key/value data: canonical immutable objects, incremental copy-on-write Merkle trie updates, atomic SQLite persistence, historical checkout, and adaptive differencing. The audited 333-trial comparison shows that Revon-H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pPr>
        <w:pStyle w:val="Heading1"/>
        <w:keepNext/>
        <w:widowControl/>
      </w:pPr>
      <w:r>
        <w:rPr>
          <w:rFonts w:ascii="Times New Roman" w:hAnsi="Times New Roman" w:eastAsia="Times New Roman" w:cs="Times New Roman"/>
          <w:color w:val="000000"/>
        </w:rPr>
        <w:t>Acknowledgment</w:t>
      </w:r>
    </w:p>
    <w:p>
      <w:pPr>
        <w:widowControl/>
        <w:spacing w:after="0" w:line="272" w:lineRule="exact"/>
        <w:ind w:firstLine="0"/>
        <w:jc w:val="both"/>
      </w:pPr>
      <w:r>
        <w:rPr>
          <w:rFonts w:ascii="Times New Roman" w:hAnsi="Times New Roman" w:eastAsia="Times New Roman" w:cs="Times New Roman"/>
          <w:color w:val="000000"/>
        </w:rPr>
        <w:t>The authors acknowledge the open-source Dolt project and the researchers whose dataset-versioning systems informed the experimental design.</w:t>
      </w:r>
    </w:p>
    <w:p>
      <w:pPr>
        <w:pStyle w:val="Heading1"/>
        <w:keepNext/>
        <w:widowControl/>
      </w:pPr>
      <w:r>
        <w:rPr>
          <w:rFonts w:ascii="Times New Roman" w:hAnsi="Times New Roman" w:eastAsia="Times New Roman" w:cs="Times New Roman"/>
          <w:color w:val="000000"/>
        </w:rPr>
        <w:t>References</w:t>
      </w:r>
    </w:p>
    <w:p>
      <w:bookmarkStart w:id="1" w:name="ref_git"/>
      <w:pPr>
        <w:pStyle w:val="IEEEReference"/>
        <w:widowControl/>
      </w:pPr>
      <w:r>
        <w:rPr>
          <w:rFonts w:ascii="Times New Roman" w:hAnsi="Times New Roman" w:eastAsia="Times New Roman" w:cs="Times New Roman"/>
          <w:color w:val="000000"/>
        </w:rPr>
        <w:t>[1] Scott Chacon and Ben Straub. 2014. Git Internals - Git Objects. In Pro Git, 2nd edition. https://git-scm.com/book/en/v2/Git-Internals-Git-Objects.</w:t>
      </w:r>
      <w:bookmarkEnd w:id="1"/>
    </w:p>
    <w:p>
      <w:bookmarkStart w:id="2" w:name="ref_dolt_block"/>
      <w:pPr>
        <w:pStyle w:val="IEEEReference"/>
        <w:widowControl/>
      </w:pPr>
      <w:r>
        <w:rPr>
          <w:rFonts w:ascii="Times New Roman" w:hAnsi="Times New Roman" w:eastAsia="Times New Roman" w:cs="Times New Roman"/>
          <w:color w:val="000000"/>
        </w:rPr>
        <w:t>[2] DoltHub. 2024. Dolt Storage Engine: Block Store. Dolt Documentation. https://www.dolthub.com/docs/architecture/storage-engine/block-store/.</w:t>
      </w:r>
      <w:bookmarkEnd w:id="2"/>
    </w:p>
    <w:p>
      <w:bookmarkStart w:id="3" w:name="ref_dolt_prolly"/>
      <w:pPr>
        <w:pStyle w:val="IEEEReference"/>
        <w:widowControl/>
      </w:pPr>
      <w:r>
        <w:rPr>
          <w:rFonts w:ascii="Times New Roman" w:hAnsi="Times New Roman" w:eastAsia="Times New Roman" w:cs="Times New Roman"/>
          <w:color w:val="000000"/>
        </w:rPr>
        <w:t>[3] Tim Sehn. 2024. Dolt's Storage Engine. DoltHub Blog, February 29, 2024. https://www.dolthub.com/blog/2024-02-29-storage-engine/.</w:t>
      </w:r>
      <w:bookmarkEnd w:id="3"/>
    </w:p>
    <w:p>
      <w:bookmarkStart w:id="4" w:name="ref_merkle"/>
      <w:pPr>
        <w:pStyle w:val="IEEEReference"/>
        <w:widowControl/>
      </w:pPr>
      <w:r>
        <w:rPr>
          <w:rFonts w:ascii="Times New Roman" w:hAnsi="Times New Roman" w:eastAsia="Times New Roman" w:cs="Times New Roman"/>
          <w:color w:val="000000"/>
        </w:rPr>
        <w:t>[4] Ralph C. Merkle. 1988. A Digital Signature Based on a Conventional Encryption Function. In Advances in Cryptology - CRYPTO '87, LNCS 293, pages 369-378. doi:10.1007/3-540-48184-2_32.</w:t>
      </w:r>
      <w:bookmarkEnd w:id="4"/>
    </w:p>
    <w:p>
      <w:bookmarkStart w:id="5" w:name="ref_persistent"/>
      <w:pPr>
        <w:pStyle w:val="IEEEReference"/>
        <w:widowControl/>
      </w:pPr>
      <w:r>
        <w:rPr>
          <w:rFonts w:ascii="Times New Roman" w:hAnsi="Times New Roman" w:eastAsia="Times New Roman" w:cs="Times New Roman"/>
          <w:color w:val="000000"/>
        </w:rPr>
        <w:t>[5] James R. Driscoll, Neil Sarnak, Daniel D. Sleator, and Robert E. Tarjan. 1989. Making Data Structures Persistent. Journal of Computer and System Sciences, 38(1):86-124. doi:10.1016/0022-0000(89)90034-2.</w:t>
      </w:r>
      <w:bookmarkEnd w:id="5"/>
    </w:p>
    <w:p>
      <w:bookmarkStart w:id="6" w:name="ref_ipfs"/>
      <w:pPr>
        <w:pStyle w:val="IEEEReference"/>
        <w:widowControl/>
      </w:pPr>
      <w:r>
        <w:rPr>
          <w:rFonts w:ascii="Times New Roman" w:hAnsi="Times New Roman" w:eastAsia="Times New Roman" w:cs="Times New Roman"/>
          <w:color w:val="000000"/>
        </w:rPr>
        <w:t>[6] Juan Benet. 2014. IPFS - Content Addressed, Versioned, P2P File System. arXiv:1407.3561.</w:t>
      </w:r>
      <w:bookmarkEnd w:id="6"/>
    </w:p>
    <w:p>
      <w:bookmarkStart w:id="7" w:name="ref_mst"/>
      <w:pPr>
        <w:pStyle w:val="IEEEReference"/>
        <w:widowControl/>
      </w:pPr>
      <w:r>
        <w:rPr>
          <w:rFonts w:ascii="Times New Roman" w:hAnsi="Times New Roman" w:eastAsia="Times New Roman" w:cs="Times New Roman"/>
          <w:color w:val="000000"/>
        </w:rPr>
        <w:t>[7] Alex Auvolat and François Taïani. 2019. Merkle Search Trees: Efficient State-Based CRDTs in Open Networks. 38th IEEE International Symposium on Reliable Distributed Systems, pages 221-230. doi:10.1109/SRDS47363.2019.00032.</w:t>
      </w:r>
      <w:bookmarkEnd w:id="7"/>
    </w:p>
    <w:p>
      <w:bookmarkStart w:id="8" w:name="ref_lbfs"/>
      <w:pPr>
        <w:pStyle w:val="IEEEReference"/>
        <w:widowControl/>
      </w:pPr>
      <w:r>
        <w:rPr>
          <w:rFonts w:ascii="Times New Roman" w:hAnsi="Times New Roman" w:eastAsia="Times New Roman" w:cs="Times New Roman"/>
          <w:color w:val="000000"/>
        </w:rPr>
        <w:t>[8] Athicha Muthitacharoen, Benjie Chen, and David Mazières. 2001. A Low-Bandwidth Network File System. Proceedings of the 18th ACM Symposium on Operating Systems Principles, pages 174-187. doi:10.1145/502034.502052.</w:t>
      </w:r>
      <w:bookmarkEnd w:id="8"/>
    </w:p>
    <w:p>
      <w:bookmarkStart w:id="9" w:name="ref_datahub"/>
      <w:pPr>
        <w:pStyle w:val="IEEEReference"/>
        <w:widowControl/>
      </w:pPr>
      <w:r>
        <w:rPr>
          <w:rFonts w:ascii="Times New Roman" w:hAnsi="Times New Roman" w:eastAsia="Times New Roman" w:cs="Times New Roman"/>
          <w:color w:val="000000"/>
        </w:rPr>
        <w:t>[9]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9"/>
    </w:p>
    <w:p>
      <w:bookmarkStart w:id="10" w:name="ref_decibel"/>
      <w:pPr>
        <w:pStyle w:val="IEEEReference"/>
        <w:widowControl/>
      </w:pPr>
      <w:r>
        <w:rPr>
          <w:rFonts w:ascii="Times New Roman" w:hAnsi="Times New Roman" w:eastAsia="Times New Roman" w:cs="Times New Roman"/>
          <w:color w:val="000000"/>
        </w:rPr>
        <w:t>[10] Michael Maddox, David Goehring, Aaron J. Elmore, Samuel Madden, Aditya G. Parameswaran, and Amol Deshpande. 2016. Decibel: The Relational Dataset Branching System. Proceedings of the VLDB Endowment, 9(9):624-635. doi:10.14778/2947618.2947619.</w:t>
      </w:r>
      <w:bookmarkEnd w:id="10"/>
    </w:p>
    <w:p>
      <w:bookmarkStart w:id="11" w:name="ref_orpheus"/>
      <w:pPr>
        <w:pStyle w:val="IEEEReference"/>
        <w:widowControl/>
      </w:pPr>
      <w:r>
        <w:rPr>
          <w:rFonts w:ascii="Times New Roman" w:hAnsi="Times New Roman"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1"/>
    </w:p>
    <w:p>
      <w:bookmarkStart w:id="12" w:name="ref_versioning"/>
      <w:pPr>
        <w:pStyle w:val="IEEEReference"/>
        <w:widowControl/>
      </w:pPr>
      <w:r>
        <w:rPr>
          <w:rFonts w:ascii="Times New Roman" w:hAnsi="Times New Roman" w:eastAsia="Times New Roman" w:cs="Times New Roman"/>
          <w:color w:val="000000"/>
        </w:rPr>
        <w:t>[12] Souvik Bhattacherjee, Amit Chavan, Silu Huang, Amol Deshpande, and Aditya Parameswaran. 2015. Principles of Dataset Versioning: Exploring the Recreation/Storage Tradeoff. Proceedings of the VLDB Endowment, 8(12):1346-1357. doi:10.14778/2824032.2824035.</w:t>
      </w:r>
      <w:bookmarkEnd w:id="12"/>
    </w:p>
    <w:p>
      <w:bookmarkStart w:id="13" w:name="ref_delta"/>
      <w:pPr>
        <w:pStyle w:val="IEEEReference"/>
        <w:widowControl/>
      </w:pPr>
      <w:r>
        <w:rPr>
          <w:rFonts w:ascii="Times New Roman" w:hAnsi="Times New Roman" w:eastAsia="Times New Roman" w:cs="Times New Roman"/>
          <w:color w:val="000000"/>
        </w:rPr>
        <w:t>[13] Michael Armbrust et al. 2020. Delta Lake: High-Performance ACID Table Storage over Cloud Object Stores. Proceedings of the VLDB Endowment, 13(12):3411-3424. doi:10.14778/3415478.3415560.</w:t>
      </w:r>
      <w:bookmarkEnd w:id="13"/>
    </w:p>
    <w:p>
      <w:bookmarkStart w:id="14" w:name="ref_noms"/>
      <w:pPr>
        <w:pStyle w:val="IEEEReference"/>
        <w:widowControl/>
      </w:pPr>
      <w:r>
        <w:rPr>
          <w:rFonts w:ascii="Times New Roman" w:hAnsi="Times New Roman" w:eastAsia="Times New Roman" w:cs="Times New Roman"/>
          <w:color w:val="000000"/>
        </w:rPr>
        <w:t>[14] Attic Labs. n.d. Noms technical overview. GitHub. https://github.com/attic-labs/noms/blob/master/doc/intro.md.</w:t>
      </w:r>
      <w:bookmarkEnd w:id="14"/>
    </w:p>
    <w:p>
      <w:bookmarkStart w:id="15" w:name="ref_forkbase"/>
      <w:pPr>
        <w:pStyle w:val="IEEEReference"/>
        <w:widowControl/>
      </w:pPr>
      <w:r>
        <w:rPr>
          <w:rFonts w:ascii="Times New Roman" w:hAnsi="Times New Roman" w:eastAsia="Times New Roman" w:cs="Times New Roman"/>
          <w:color w:val="000000"/>
        </w:rPr>
        <w:t>[15] Sheng Wang et al. 2018. ForkBase: An Efficient Storage Engine for Blockchain and Forkable Applications. Proceedings of the VLDB Endowment, 11(10):1137-1150. doi:10.14778/3231751.3231762.</w:t>
      </w:r>
      <w:bookmarkEnd w:id="15"/>
    </w:p>
    <w:p>
      <w:pPr>
        <w:pStyle w:val="Heading1"/>
        <w:keepNext/>
        <w:widowControl/>
      </w:pPr>
      <w:r>
        <w:rPr>
          <w:rFonts w:ascii="Times New Roman" w:hAnsi="Times New Roman" w:eastAsia="Times New Roman" w:cs="Times New Roman"/>
          <w:color w:val="000000"/>
        </w:rPr>
        <w:t>Appendix A  Reproducibility and Data Availability</w:t>
      </w:r>
    </w:p>
    <w:p>
      <w:pPr>
        <w:widowControl/>
        <w:spacing w:after="0" w:line="272" w:lineRule="exact"/>
        <w:ind w:firstLine="0"/>
        <w:jc w:val="both"/>
      </w:pPr>
      <w:r>
        <w:rPr>
          <w:rFonts w:ascii="Times New Roman" w:hAnsi="Times New Roman" w:eastAsia="Times New Roman" w:cs="Times New Roman"/>
          <w:color w:val="000000"/>
        </w:rPr>
        <w:t xml:space="preserve">The repository contains the benchmark harness, evidence audit, trie-sensitivity harness, and manuscript-formatting and validation tools. Source code, artifacts, and reproduction instructions are available at </w:t>
      </w:r>
      <w:hyperlink r:id="rId20" w:history="1">
        <w:r>
          <w:rPr>
            <w:rFonts w:ascii="Times New Roman" w:hAnsi="Times New Roman" w:eastAsia="Times New Roman" w:cs="Times New Roman"/>
            <w:color w:val="000000"/>
            <w:sz w:val="22"/>
            <w:u w:val="none"/>
          </w:rPr>
          <w:t>https://github.com/atharvasheersh/Revon</w:t>
        </w:r>
      </w:hyperlink>
      <w:r>
        <w:rPr>
          <w:rFonts w:ascii="Times New Roman" w:hAnsi="Times New Roman" w:eastAsia="Times New Roman" w:cs="Times New Roman"/>
          <w:color w:val="000000"/>
        </w:rPr>
        <w:t>. The final evidence bundle is evidence/paper-final-20260824; the sensitivity bundle is evidence/trie-sensitivity-20260824. Tables and figures are produced from the audited summary CSV files and verified against raw results and manifests; no table or graph uses an earlier validation export.</w:t>
      </w:r>
    </w:p>
    <w:p>
      <w:pPr>
        <w:widowControl/>
        <w:sectPr>
          <w:type w:val="continuous"/>
          <w:pgSz w:w="11906" w:h="16838"/>
          <w:pgMar w:top="1440" w:right="1440" w:bottom="1440" w:left="1440" w:header="432" w:footer="504" w:gutter="0"/>
          <w:cols w:num="1" w:space="346" w:equalWidth="1"/>
          <w:docGrid w:linePitch="360"/>
        </w:sectPr>
      </w:pPr>
    </w:p>
    <w:sectPr w:rsidR="00FC693F" w:rsidRPr="0006063C" w:rsidSect="00034616">
      <w:type w:val="continuous"/>
      <w:pgSz w:w="11906" w:h="16838"/>
      <w:pgMar w:top="1440" w:right="1440" w:bottom="1440" w:left="1440" w:header="432" w:footer="504"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2" w:lineRule="exact" w:after="0"/>
      <w:ind w:firstLine="216"/>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72" w:lineRule="exact"/>
      <w:ind w:firstLine="0"/>
      <w:jc w:val="left"/>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40" w:line="272" w:lineRule="exact"/>
      <w:ind w:firstLine="0"/>
      <w:jc w:val="left"/>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line="272" w:lineRule="exact"/>
      <w:ind w:firstLine="0"/>
      <w:jc w:val="left"/>
      <w:outlineLvl w:val="2"/>
    </w:pPr>
    <w:rPr>
      <w:rFonts w:asciiTheme="majorHAnsi" w:eastAsiaTheme="majorEastAsia" w:hAnsiTheme="majorHAnsi" w:cstheme="majorBidi" w:ascii="Times New Roman" w:hAnsi="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560" w:line="320" w:lineRule="exact" w:before="160"/>
      <w:contextualSpacing/>
      <w:jc w:val="center"/>
    </w:pPr>
    <w:rPr>
      <w:rFonts w:asciiTheme="majorHAnsi" w:eastAsiaTheme="majorEastAsia" w:hAnsiTheme="majorHAnsi" w:cstheme="majorBidi" w:ascii="Times New Roman" w:hAnsi="Times New Roman"/>
      <w:b/>
      <w:color w:val="000000"/>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2" w:lineRule="exact"/>
      <w:ind w:left="288" w:hanging="216"/>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2" w:lineRule="exact"/>
      <w:ind w:left="288" w:hanging="216"/>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exact" w:before="60" w:after="120"/>
      <w:ind w:firstLine="0"/>
      <w:jc w:val="left"/>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atharva.sheersh2024@vitstudent.ac.in" TargetMode="External"/><Relationship Id="rId12" Type="http://schemas.openxmlformats.org/officeDocument/2006/relationships/hyperlink" Target="mailto:adhyan.jain2024@vitstudent.ac.in" TargetMode="External"/><Relationship Id="rId13" Type="http://schemas.openxmlformats.org/officeDocument/2006/relationships/hyperlink" Target="mailto:poornima.n@vit.ac.in"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atharvasheersh/Rev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 A Git-Inspired Approach to Structured Data Versioning Using Merkle Hash Tries</dc:title>
  <dc:subject>Final research paper</dc:subject>
  <dc:creator>Atharva Sheersh Pandey; Adhyan Jain; Poornima Nedunchezhian</dc:creator>
  <cp:keywords>content-addressed storage, structured data versioning, Merkle trie, incremental hashing, adaptive diff, Dolt</cp:keywords>
  <dc:description/>
  <cp:lastModifiedBy>Atharva Sheersh Pandey; Adhyan Jain; Poornima Nedunchezhian</cp:lastModifiedBy>
  <cp:revision>1</cp:revision>
  <dcterms:created xsi:type="dcterms:W3CDTF">2026-09-10T16:07:37Z</dcterms:created>
  <dcterms:modified xsi:type="dcterms:W3CDTF">2026-09-10T16:07:37Z</dcterms:modified>
  <cp:category/>
</cp:coreProperties>
</file>