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eastAsia="Times New Roman" w:cs="Times New Roman"/>
          <w:color w:val="000000"/>
        </w:rPr>
        <w:t>Revon: A Content-Addressed Versioned Data Store: A Git-Inspired Approach to Structured Data Versioning Using Merkle Hash Tries</w:t>
      </w:r>
    </w:p>
    <w:p>
      <w:pPr>
        <w:widowControl/>
        <w:spacing w:after="0"/>
        <w:ind w:firstLine="0"/>
        <w:jc w:val="center"/>
      </w:pPr>
      <w:r>
        <w:rPr>
          <w:rFonts w:ascii="Times New Roman" w:hAnsi="Times New Roman" w:eastAsia="Times New Roman" w:cs="Times New Roman"/>
          <w:color w:val="000000"/>
          <w:sz w:val="24"/>
        </w:rPr>
        <w:t>[Atharva Sheersh Pandey]</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[Adhyan Jain]</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[Poornima Nedunchezhian]</w:t>
      </w:r>
      <w:r>
        <w:rPr>
          <w:rFonts w:ascii="Times New Roman" w:hAnsi="Times New Roman" w:eastAsia="Times New Roman" w:cs="Times New Roman"/>
          <w:color w:val="000000"/>
          <w:sz w:val="16"/>
          <w:vertAlign w:val="superscript"/>
        </w:rPr>
        <w:t>2</w:t>
      </w:r>
    </w:p>
    <w:p>
      <w:pPr>
        <w:widowControl/>
        <w:spacing w:after="0"/>
        <w:ind w:firstLine="0"/>
        <w:jc w:val="center"/>
      </w:pPr>
      <w:hyperlink r:id="rId11" w:history="1">
        <w:r>
          <w:rPr>
            <w:rFonts w:ascii="Times New Roman" w:hAnsi="Times New Roman" w:eastAsia="Times New Roman" w:cs="Times New Roman"/>
            <w:color w:val="000000"/>
            <w:sz w:val="21"/>
            <w:u w:val="none"/>
          </w:rPr>
          <w:t>atharva.sheersh2024@vitstudent.ac.in</w:t>
        </w:r>
      </w:hyperlink>
      <w:r>
        <w:rPr>
          <w:rFonts w:ascii="Times New Roman" w:hAnsi="Times New Roman" w:eastAsia="Times New Roman" w:cs="Times New Roman"/>
          <w:color w:val="000000"/>
          <w:sz w:val="21"/>
        </w:rPr>
        <w:t xml:space="preserve">; </w:t>
      </w:r>
      <w:hyperlink r:id="rId12" w:history="1">
        <w:r>
          <w:rPr>
            <w:rFonts w:ascii="Times New Roman" w:hAnsi="Times New Roman" w:eastAsia="Times New Roman" w:cs="Times New Roman"/>
            <w:color w:val="000000"/>
            <w:sz w:val="21"/>
            <w:u w:val="none"/>
          </w:rPr>
          <w:t>adhyan.jain2024@vitstudent.ac.in</w:t>
        </w:r>
      </w:hyperlink>
      <w:r>
        <w:rPr>
          <w:rFonts w:ascii="Times New Roman" w:hAnsi="Times New Roman" w:eastAsia="Times New Roman" w:cs="Times New Roman"/>
          <w:color w:val="000000"/>
          <w:sz w:val="21"/>
        </w:rPr>
        <w:t>;</w:t>
      </w:r>
    </w:p>
    <w:p>
      <w:pPr>
        <w:widowControl/>
        <w:spacing w:after="0"/>
        <w:ind w:firstLine="0"/>
        <w:jc w:val="center"/>
      </w:pPr>
      <w:hyperlink r:id="rId13" w:history="1">
        <w:r>
          <w:rPr>
            <w:rFonts w:ascii="Times New Roman" w:hAnsi="Times New Roman" w:eastAsia="Times New Roman" w:cs="Times New Roman"/>
            <w:color w:val="000000"/>
            <w:sz w:val="21"/>
            <w:u w:val="none"/>
          </w:rPr>
          <w:t>poornima.n@vit.ac.in</w:t>
        </w:r>
      </w:hyperlink>
    </w:p>
    <w:p>
      <w:pPr>
        <w:widowControl/>
        <w:spacing w:after="0"/>
        <w:ind w:firstLine="0"/>
        <w:jc w:val="center"/>
      </w:pPr>
      <w:r>
        <w:rPr>
          <w:rFonts w:ascii="Times New Roman" w:hAnsi="Times New Roman" w:eastAsia="Times New Roman" w:cs="Times New Roman"/>
          <w:color w:val="000000"/>
          <w:sz w:val="22"/>
        </w:rPr>
        <w:t>School of Computer Science and Engineering</w:t>
      </w:r>
    </w:p>
    <w:p>
      <w:pPr>
        <w:widowControl/>
        <w:spacing w:after="0"/>
        <w:ind w:firstLine="0"/>
        <w:jc w:val="center"/>
      </w:pPr>
      <w:r>
        <w:rPr>
          <w:rFonts w:ascii="Times New Roman" w:hAnsi="Times New Roman" w:eastAsia="Times New Roman" w:cs="Times New Roman"/>
          <w:color w:val="000000"/>
          <w:sz w:val="22"/>
        </w:rPr>
        <w:t>VIT Vellore</w:t>
      </w:r>
    </w:p>
    <w:p>
      <w:pPr>
        <w:widowControl/>
        <w:sectPr>
          <w:headerReference w:type="default" r:id="rId9"/>
          <w:footerReference w:type="default" r:id="rId10"/>
          <w:pgSz w:w="11906" w:h="16838"/>
          <w:pgMar w:top="1440" w:right="1440" w:bottom="1440" w:left="1440" w:header="432" w:footer="504" w:gutter="0"/>
          <w:cols w:num="1"/>
          <w:docGrid w:linePitch="360"/>
        </w:sectPr>
      </w:pPr>
    </w:p>
    <w:p>
      <w:pPr>
        <w:widowControl/>
        <w:spacing w:after="140"/>
        <w:ind w:firstLine="0"/>
        <w:jc w:val="center"/>
      </w:pPr>
      <w:r>
        <w:rPr>
          <w:rFonts w:ascii="Times New Roman" w:hAnsi="Times New Roman" w:eastAsia="Times New Roman" w:cs="Times New Roman"/>
          <w:b/>
          <w:color w:val="000000"/>
          <w:sz w:val="24"/>
        </w:rPr>
        <w:t>Abstract</w:t>
      </w:r>
    </w:p>
    <w:p>
      <w:pPr>
        <w:widowControl/>
        <w:spacing w:after="80" w:line="240" w:lineRule="exact"/>
        <w:ind w:firstLine="0" w:left="340" w:right="340"/>
        <w:jc w:val="both"/>
      </w:pPr>
      <w:r>
        <w:rPr>
          <w:rFonts w:ascii="Times New Roman" w:hAnsi="Times New Roman" w:eastAsia="Times New Roman" w:cs="Times New Roman"/>
          <w:color w:val="000000"/>
          <w:sz w:val="20"/>
        </w:rPr>
        <w:t>Versioning structured datasets requires durable history, efficient sparse updates, historical reconstruction, and comparison without copying or scanning every record. Revon is a Python prototype built around an immutable fixed-depth Merkle hash trie. A commit rewrites only affected leaf buckets and the union of their ancestor paths; unchanged subtrees are reused by content hash. Revon-H adds addressed changesets and selects between log aggregation and hash-pruned tree differencing using a separately calibrated threshold. We evaluate Snapshot, Log-only, forced-Merkle Revon-M, Revon-H, and Dolt 2.3.1 on identical deterministic workloads up to 100,000 rows. The audited paper run contains 333 successful and correct trials. Under the CLI-facing protocol, Revon-H diff latency was 5.8x to 554.2x lower than Dolt and its incremental commit latency was 2.3x to 37.4x lower, while Revon-H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pStyle w:val="Heading1"/>
        <w:keepNext/>
        <w:widowControl/>
      </w:pPr>
      <w:r>
        <w:rPr>
          <w:rFonts w:ascii="Times New Roman" w:hAnsi="Times New Roman" w:eastAsia="Times New Roman" w:cs="Times New Roman"/>
          <w:color w:val="000000"/>
        </w:rPr>
        <w:t>1  Introduction</w:t>
      </w:r>
    </w:p>
    <w:p>
      <w:pPr>
        <w:widowControl/>
        <w:spacing w:after="0" w:line="272" w:lineRule="exact"/>
        <w:ind w:firstLine="0"/>
        <w:jc w:val="both"/>
      </w:pPr>
      <w:r>
        <w:rPr>
          <w:rFonts w:ascii="Times New Roman" w:hAnsi="Times New Roman" w:eastAsia="Times New Roman" w:cs="Times New Roman"/>
          <w:color w:val="000000"/>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Pr>
            <w:color w:val="0000FF"/>
            <w:u w:val="none"/>
          </w:rPr>
          <w:t>[7]</w:t>
        </w:r>
      </w:hyperlink>
      <w:r>
        <w:rPr>
          <w:rFonts w:ascii="Times New Roman" w:hAnsi="Times New Roman" w:eastAsia="Times New Roman" w:cs="Times New Roman"/>
          <w:color w:val="000000"/>
        </w:rPr>
        <w:t>--but organizes those objects around files and directories. A record store presents a different workload: keys remain stable, update density varies, and two versions may be separated by a handful of edits or by a long sequence of commits.</w:t>
      </w:r>
    </w:p>
    <w:p>
      <w:pPr>
        <w:widowControl/>
        <w:spacing w:after="0" w:line="272" w:lineRule="exact"/>
        <w:ind w:firstLine="216"/>
        <w:jc w:val="both"/>
      </w:pPr>
      <w:r>
        <w:rPr>
          <w:rFonts w:ascii="Times New Roman" w:hAnsi="Times New Roman" w:eastAsia="Times New Roman" w:cs="Times New Roman"/>
          <w:color w:val="000000"/>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pPr>
        <w:widowControl/>
        <w:spacing w:after="0" w:line="272" w:lineRule="exact"/>
        <w:ind w:firstLine="216"/>
        <w:jc w:val="both"/>
      </w:pPr>
      <w:r>
        <w:rPr>
          <w:rFonts w:ascii="Times New Roman" w:hAnsi="Times New Roman" w:eastAsia="Times New Roman" w:cs="Times New Roman"/>
          <w:color w:val="000000"/>
        </w:rPr>
        <w:t xml:space="preserve">Dolt is the production comparator because it combines SQL semantics, a Git-style commit graph, and content-addressed Prolly Trees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Revon is not presented as a feature replacement for Dolt. The comparison instead identifies the performance and storage trade-offs of a smaller instrumentable mechanism under a reproducible CLI-facing protocol.</w:t>
      </w:r>
    </w:p>
    <w:p>
      <w:pPr>
        <w:pStyle w:val="Heading2"/>
        <w:keepNext/>
        <w:widowControl/>
      </w:pPr>
      <w:r>
        <w:rPr>
          <w:rFonts w:ascii="Times New Roman" w:hAnsi="Times New Roman" w:eastAsia="Times New Roman" w:cs="Times New Roman"/>
          <w:color w:val="000000"/>
        </w:rPr>
        <w:t>1.1  Research Questions</w:t>
      </w:r>
    </w:p>
    <w:p>
      <w:pPr>
        <w:pStyle w:val="ListBullet"/>
        <w:widowControl/>
      </w:pPr>
      <w:r>
        <w:rPr>
          <w:rFonts w:ascii="Times New Roman" w:hAnsi="Times New Roman" w:eastAsia="Times New Roman" w:cs="Times New Roman"/>
          <w:color w:val="000000"/>
        </w:rPr>
        <w:t>RQ1: What latency and storage trade-offs does Revon-H exhibit against Snapshot, Log-only, and Dolt across dataset size, mutation density, and locality?</w:t>
      </w:r>
    </w:p>
    <w:p>
      <w:pPr>
        <w:pStyle w:val="ListBullet"/>
        <w:widowControl/>
      </w:pPr>
      <w:r>
        <w:rPr>
          <w:rFonts w:ascii="Times New Roman" w:hAnsi="Times New Roman" w:eastAsia="Times New Roman" w:cs="Times New Roman"/>
          <w:color w:val="000000"/>
        </w:rPr>
        <w:t>RQ2: Does adaptive log/Merkle selection improve diff latency relative to a forced-Merkle ablation without changing correctness?</w:t>
      </w:r>
    </w:p>
    <w:p>
      <w:pPr>
        <w:pStyle w:val="ListBullet"/>
        <w:widowControl/>
      </w:pPr>
      <w:r>
        <w:rPr>
          <w:rFonts w:ascii="Times New Roman" w:hAnsi="Times New Roman" w:eastAsia="Times New Roman" w:cs="Times New Roman"/>
          <w:color w:val="000000"/>
        </w:rPr>
        <w:t>RQ3: How sensitive are fixed-trie latency, storage, and examined work to branching factor and depth?</w:t>
      </w:r>
    </w:p>
    <w:p>
      <w:pPr>
        <w:pStyle w:val="Heading2"/>
        <w:keepNext/>
        <w:widowControl/>
      </w:pPr>
      <w:r>
        <w:rPr>
          <w:rFonts w:ascii="Times New Roman" w:hAnsi="Times New Roman" w:eastAsia="Times New Roman" w:cs="Times New Roman"/>
          <w:color w:val="000000"/>
        </w:rPr>
        <w:t>1.2  Contributions</w:t>
      </w:r>
    </w:p>
    <w:p>
      <w:pPr>
        <w:pStyle w:val="ListBullet"/>
        <w:widowControl/>
      </w:pPr>
      <w:r>
        <w:rPr>
          <w:rFonts w:ascii="Times New Roman" w:hAnsi="Times New Roman" w:eastAsia="Times New Roman" w:cs="Times New Roman"/>
          <w:color w:val="000000"/>
        </w:rPr>
        <w:t>A canonical SHA-256-addressed fixed-depth trie with incremental multi-key path rewriting.</w:t>
      </w:r>
    </w:p>
    <w:p>
      <w:pPr>
        <w:pStyle w:val="ListBullet"/>
        <w:widowControl/>
      </w:pPr>
      <w:r>
        <w:rPr>
          <w:rFonts w:ascii="Times New Roman" w:hAnsi="Times New Roman" w:eastAsia="Times New Roman" w:cs="Times New Roman"/>
          <w:color w:val="000000"/>
        </w:rPr>
        <w:t>A hybrid diff policy combining addressed changesets with hash-pruned tree comparison.</w:t>
      </w:r>
    </w:p>
    <w:p>
      <w:pPr>
        <w:pStyle w:val="ListBullet"/>
        <w:widowControl/>
      </w:pPr>
      <w:r>
        <w:rPr>
          <w:rFonts w:ascii="Times New Roman" w:hAnsi="Times New Roman" w:eastAsia="Times New Roman" w:cs="Times New Roman"/>
          <w:color w:val="000000"/>
        </w:rPr>
        <w:t>An atomic SQLite repository that persists objects, commits, aliases, metrics, and HEAD and verifies hashes after reopen.</w:t>
      </w:r>
    </w:p>
    <w:p>
      <w:pPr>
        <w:pStyle w:val="ListBullet"/>
        <w:widowControl/>
      </w:pPr>
      <w:r>
        <w:rPr>
          <w:rFonts w:ascii="Times New Roman" w:hAnsi="Times New Roman" w:eastAsia="Times New Roman" w:cs="Times New Roman"/>
          <w:color w:val="000000"/>
        </w:rPr>
        <w:t>A five-variant benchmark with shared deterministic workloads, correctness oracles, Dolt integration, raw evidence, and an independently audited summary.</w:t>
      </w:r>
    </w:p>
    <w:p>
      <w:pPr>
        <w:pStyle w:val="ListBullet"/>
        <w:widowControl/>
      </w:pPr>
      <w:r>
        <w:rPr>
          <w:rFonts w:ascii="Times New Roman" w:hAnsi="Times New Roman" w:eastAsia="Times New Roman" w:cs="Times New Roman"/>
          <w:color w:val="000000"/>
        </w:rPr>
        <w:t>A controlled branching-factor/depth sensitivity study that prevents treating b=8, d=4 as universally optimal.</w:t>
      </w:r>
    </w:p>
    <w:p>
      <w:pPr>
        <w:pStyle w:val="Heading1"/>
        <w:keepNext/>
        <w:widowControl/>
      </w:pPr>
      <w:r>
        <w:rPr>
          <w:rFonts w:ascii="Times New Roman" w:hAnsi="Times New Roman" w:eastAsia="Times New Roman" w:cs="Times New Roman"/>
          <w:color w:val="000000"/>
        </w:rPr>
        <w:t>2  Literature Review and Related Work</w:t>
      </w:r>
    </w:p>
    <w:p>
      <w:pPr>
        <w:pStyle w:val="Heading2"/>
        <w:keepNext/>
        <w:widowControl/>
      </w:pPr>
      <w:r>
        <w:rPr>
          <w:rFonts w:ascii="Times New Roman" w:hAnsi="Times New Roman" w:eastAsia="Times New Roman" w:cs="Times New Roman"/>
          <w:color w:val="000000"/>
        </w:rPr>
        <w:t>2.1  Content Addressing and Persistent Structures</w:t>
      </w:r>
    </w:p>
    <w:p>
      <w:pPr>
        <w:widowControl/>
        <w:spacing w:after="0" w:line="272" w:lineRule="exact"/>
        <w:ind w:firstLine="0"/>
        <w:jc w:val="both"/>
      </w:pPr>
      <w:r>
        <w:rPr>
          <w:rFonts w:ascii="Times New Roman" w:hAnsi="Times New Roman" w:eastAsia="Times New Roman" w:cs="Times New Roman"/>
          <w:color w:val="000000"/>
        </w:rPr>
        <w:t xml:space="preserve">Merkle's authenticated tree construction established that a compact root digest can commit to a larger collection </w:t>
      </w:r>
      <w:hyperlink w:anchor="ref_merkle" w:history="1">
        <w:r>
          <w:rPr>
            <w:color w:val="0000FF"/>
            <w:u w:val="none"/>
          </w:rPr>
          <w:t>[13]</w:t>
        </w:r>
      </w:hyperlink>
      <w:r>
        <w:rPr>
          <w:rFonts w:ascii="Times New Roman" w:hAnsi="Times New Roman" w:eastAsia="Times New Roman" w:cs="Times New Roman"/>
          <w:color w:val="000000"/>
        </w:rPr>
        <w:t xml:space="preserve">, while persistent-data-structure theory formalized path copying and bounded-overhead access to historical versions </w:t>
      </w:r>
      <w:hyperlink w:anchor="ref_persistent" w:history="1">
        <w:r>
          <w:rPr>
            <w:color w:val="0000FF"/>
            <w:u w:val="none"/>
          </w:rPr>
          <w:t>[10]</w:t>
        </w:r>
      </w:hyperlink>
      <w:r>
        <w:rPr>
          <w:rFonts w:ascii="Times New Roman" w:hAnsi="Times New Roman" w:eastAsia="Times New Roman" w:cs="Times New Roman"/>
          <w:color w:val="000000"/>
        </w:rPr>
        <w:t xml:space="preserve">. Git applies content-addressed blobs, trees, and commits to software history </w:t>
      </w:r>
      <w:hyperlink w:anchor="ref_git" w:history="1">
        <w:r>
          <w:rPr>
            <w:color w:val="0000FF"/>
            <w:u w:val="none"/>
          </w:rPr>
          <w:t>[7]</w:t>
        </w:r>
      </w:hyperlink>
      <w:r>
        <w:rPr>
          <w:rFonts w:ascii="Times New Roman" w:hAnsi="Times New Roman" w:eastAsia="Times New Roman" w:cs="Times New Roman"/>
          <w:color w:val="000000"/>
        </w:rPr>
        <w:t xml:space="preserve">, and IPFS generalizes content-addressed links into a versionable Merkle DAG </w:t>
      </w:r>
      <w:hyperlink w:anchor="ref_ipfs" w:history="1">
        <w:r>
          <w:rPr>
            <w:color w:val="0000FF"/>
            <w:u w:val="none"/>
          </w:rPr>
          <w:t>[4]</w:t>
        </w:r>
      </w:hyperlink>
      <w:r>
        <w:rPr>
          <w:rFonts w:ascii="Times New Roman" w:hAnsi="Times New Roman" w:eastAsia="Times New Roman" w:cs="Times New Roman"/>
          <w:color w:val="000000"/>
        </w:rPr>
        <w:t>. Revon adopts immutable object identity and parent links, but routes structured keys by hash into a persistent trie rather than mirroring a filesystem hierarchy.</w:t>
      </w:r>
    </w:p>
    <w:p>
      <w:pPr>
        <w:widowControl/>
        <w:spacing w:after="0" w:line="272" w:lineRule="exact"/>
        <w:ind w:firstLine="216"/>
        <w:jc w:val="both"/>
      </w:pPr>
      <w:r>
        <w:rPr>
          <w:rFonts w:ascii="Times New Roman" w:hAnsi="Times New Roman" w:eastAsia="Times New Roman" w:cs="Times New Roman"/>
          <w:color w:val="000000"/>
        </w:rPr>
        <w:t xml:space="preserve">Merkle Search Trees combine search-tree ordering with Merkle authentication for efficient state reconciliation </w:t>
      </w:r>
      <w:hyperlink w:anchor="ref_mst" w:history="1">
        <w:r>
          <w:rPr>
            <w:color w:val="0000FF"/>
            <w:u w:val="none"/>
          </w:rPr>
          <w:t>[3]</w:t>
        </w:r>
      </w:hyperlink>
      <w:r>
        <w:rPr>
          <w:rFonts w:ascii="Times New Roman" w:hAnsi="Times New Roman" w:eastAsia="Times New Roman" w:cs="Times New Roman"/>
          <w:color w:val="000000"/>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Pr>
            <w:color w:val="0000FF"/>
            <w:u w:val="none"/>
          </w:rPr>
          <w:t>[14]</w:t>
        </w:r>
      </w:hyperlink>
      <w:r>
        <w:rPr>
          <w:rFonts w:ascii="Times New Roman" w:hAnsi="Times New Roman" w:eastAsia="Times New Roman" w:cs="Times New Roman"/>
          <w:color w:val="000000"/>
        </w:rPr>
        <w:t>, also explains why history-independent boundaries are a credible storage improvement beyond the current fixed buckets.</w:t>
      </w:r>
    </w:p>
    <w:p>
      <w:pPr>
        <w:pStyle w:val="Heading2"/>
        <w:keepNext/>
        <w:widowControl/>
      </w:pPr>
      <w:r>
        <w:rPr>
          <w:rFonts w:ascii="Times New Roman" w:hAnsi="Times New Roman" w:eastAsia="Times New Roman" w:cs="Times New Roman"/>
          <w:color w:val="000000"/>
        </w:rPr>
        <w:t>2.2  Structured Dataset Versioning</w:t>
      </w:r>
    </w:p>
    <w:p>
      <w:pPr>
        <w:widowControl/>
        <w:spacing w:after="0" w:line="272" w:lineRule="exact"/>
        <w:ind w:firstLine="0"/>
        <w:jc w:val="both"/>
      </w:pPr>
      <w:r>
        <w:rPr>
          <w:rFonts w:ascii="Times New Roman" w:hAnsi="Times New Roman" w:eastAsia="Times New Roman" w:cs="Times New Roman"/>
          <w:color w:val="000000"/>
        </w:rPr>
        <w:t xml:space="preserve">Dataset-versioning research exposes a broader storage-retrieval design space. DataHub motivates collaborative dataset history at scale </w:t>
      </w:r>
      <w:hyperlink w:anchor="ref_datahub" w:history="1">
        <w:r>
          <w:rPr>
            <w:color w:val="0000FF"/>
            <w:u w:val="none"/>
          </w:rPr>
          <w:t>[5]</w:t>
        </w:r>
      </w:hyperlink>
      <w:r>
        <w:rPr>
          <w:rFonts w:ascii="Times New Roman" w:hAnsi="Times New Roman" w:eastAsia="Times New Roman" w:cs="Times New Roman"/>
          <w:color w:val="000000"/>
        </w:rPr>
        <w:t xml:space="preserve">. Decibel integrates branching into a relational storage engine and compares version-first, tuple-first, and hybrid layouts </w:t>
      </w:r>
      <w:hyperlink w:anchor="ref_decibel" w:history="1">
        <w:r>
          <w:rPr>
            <w:color w:val="0000FF"/>
            <w:u w:val="none"/>
          </w:rPr>
          <w:t>[12]</w:t>
        </w:r>
      </w:hyperlink>
      <w:r>
        <w:rPr>
          <w:rFonts w:ascii="Times New Roman" w:hAnsi="Times New Roman" w:eastAsia="Times New Roman" w:cs="Times New Roman"/>
          <w:color w:val="000000"/>
        </w:rPr>
        <w:t xml:space="preserve">. OrpheusDB bolts versioning onto a conventional DBMS and optimizes partitioning for version retrieval </w:t>
      </w:r>
      <w:hyperlink w:anchor="ref_orpheus" w:history="1">
        <w:r>
          <w:rPr>
            <w:color w:val="0000FF"/>
            <w:u w:val="none"/>
          </w:rPr>
          <w:t>[11]</w:t>
        </w:r>
      </w:hyperlink>
      <w:r>
        <w:rPr>
          <w:rFonts w:ascii="Times New Roman" w:hAnsi="Times New Roman" w:eastAsia="Times New Roman" w:cs="Times New Roman"/>
          <w:color w:val="000000"/>
        </w:rPr>
        <w:t xml:space="preserve">. The dataset-versioning model in </w:t>
      </w:r>
      <w:hyperlink w:anchor="ref_versioning" w:history="1">
        <w:r>
          <w:rPr>
            <w:color w:val="0000FF"/>
            <w:u w:val="none"/>
          </w:rPr>
          <w:t>[6]</w:t>
        </w:r>
      </w:hyperlink>
      <w:r>
        <w:rPr>
          <w:rFonts w:ascii="Times New Roman" w:hAnsi="Times New Roman" w:eastAsia="Times New Roman" w:cs="Times New Roman"/>
          <w:color w:val="000000"/>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u w:val="none"/>
          </w:rPr>
          <w:t>[1]</w:t>
        </w:r>
      </w:hyperlink>
      <w:r>
        <w:rPr>
          <w:rFonts w:ascii="Times New Roman" w:hAnsi="Times New Roman" w:eastAsia="Times New Roman" w:cs="Times New Roman"/>
          <w:color w:val="000000"/>
        </w:rPr>
        <w:t>. These systems motivate reporting commit, checkout, diff, and storage together rather than selecting a single metric.</w:t>
      </w:r>
    </w:p>
    <w:p>
      <w:pPr>
        <w:pStyle w:val="Heading2"/>
        <w:keepNext/>
        <w:widowControl/>
      </w:pPr>
      <w:r>
        <w:rPr>
          <w:rFonts w:ascii="Times New Roman" w:hAnsi="Times New Roman" w:eastAsia="Times New Roman" w:cs="Times New Roman"/>
          <w:color w:val="000000"/>
        </w:rPr>
        <w:t>2.3  System Design Gap</w:t>
      </w:r>
    </w:p>
    <w:p>
      <w:pPr>
        <w:widowControl/>
        <w:spacing w:after="0" w:line="272" w:lineRule="exact"/>
        <w:ind w:firstLine="0"/>
        <w:jc w:val="both"/>
      </w:pPr>
      <w:r>
        <w:rPr>
          <w:rFonts w:ascii="Times New Roman" w:hAnsi="Times New Roman" w:eastAsia="Times New Roman" w:cs="Times New Roman"/>
          <w:color w:val="000000"/>
        </w:rPr>
        <w:t xml:space="preserve">Noms represents structured data as a Merkle DAG of immutable chunks and supports efficient diff and synchronization </w:t>
      </w:r>
      <w:hyperlink w:anchor="ref_noms" w:history="1">
        <w:r>
          <w:rPr>
            <w:color w:val="0000FF"/>
            <w:u w:val="none"/>
          </w:rPr>
          <w:t>[2]</w:t>
        </w:r>
      </w:hyperlink>
      <w:r>
        <w:rPr>
          <w:rFonts w:ascii="Times New Roman" w:hAnsi="Times New Roman" w:eastAsia="Times New Roman" w:cs="Times New Roman"/>
          <w:color w:val="000000"/>
        </w:rPr>
        <w:t xml:space="preserve">. ForkBase combines content addressing, fork semantics, and duplicate-content detection for forkable applications </w:t>
      </w:r>
      <w:hyperlink w:anchor="ref_forkbase" w:history="1">
        <w:r>
          <w:rPr>
            <w:color w:val="0000FF"/>
            <w:u w:val="none"/>
          </w:rPr>
          <w:t>[15]</w:t>
        </w:r>
      </w:hyperlink>
      <w:r>
        <w:rPr>
          <w:rFonts w:ascii="Times New Roman" w:hAnsi="Times New Roman" w:eastAsia="Times New Roman" w:cs="Times New Roman"/>
          <w:color w:val="000000"/>
        </w:rPr>
        <w:t xml:space="preserve">. Dolt stores table indexes as content-addressed Prolly Trees: ordered, B-tree-like structures with history-independent chunk boundaries, structural sharing, and native diff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Revon differs by using fixed-depth hash routing and by exposing an explicit alternative operation-log path. This simplifies instrumentation, but gives up Dolt's ordered range behavior, SQL surface, mature branching, merging, and production engineering.</w:t>
      </w:r>
    </w:p>
    <w:tbl>
      <w:tblPr>
        <w:tblW w:type="dxa" w:w="4270"/>
        <w:jc w:val="left"/>
        <w:tblLayout w:type="fixed"/>
        <w:tblLook w:firstColumn="1" w:firstRow="1" w:lastColumn="0" w:lastRow="0" w:noHBand="0" w:noVBand="1" w:val="04A0"/>
        <w:tblInd w:type="dxa" w:w="25"/>
      </w:tblPr>
      <w:tblGrid>
        <w:gridCol w:w="1037"/>
        <w:gridCol w:w="1464"/>
        <w:gridCol w:w="1769"/>
      </w:tblGrid>
      <w:tr>
        <w:trPr>
          <w:cantSplit/>
          <w:tblHeader w:val="true"/>
        </w:trPr>
        <w:tc>
          <w:tcPr>
            <w:tcW w:type="dxa" w:w="1037"/>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Prior work</w:t>
            </w:r>
          </w:p>
        </w:tc>
        <w:tc>
          <w:tcPr>
            <w:tcW w:type="dxa" w:w="14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Core representation</w:t>
            </w:r>
          </w:p>
        </w:tc>
        <w:tc>
          <w:tcPr>
            <w:tcW w:type="dxa" w:w="17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Relationship to Revon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Persistent DS [10]</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Path copying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Formal structural-sharing basis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Git [7]</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Object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Identity and commit ancestry; file-oriented</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IPFS [4]</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General content-addressed versioning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MST [3]</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search tree</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Authenticated ordered reconciliation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DataHub [5]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Version graph</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Collaborative dataset motivation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Decibel [12]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Relational layouts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Native database branching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OrpheusDB [11]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Partitioned versions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Storage/retrieval optimization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Delta Lake [1]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Log/checkpoints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ACID time travel at data-lake scale</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Noms [2]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Structured content addressing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ForkBase [15]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Forkable CAS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 and deduplication semantics</w:t>
            </w:r>
          </w:p>
        </w:tc>
      </w:tr>
      <w:tr>
        <w:trPr>
          <w:cantSplit/>
        </w:trPr>
        <w:tc>
          <w:tcPr>
            <w:tcW w:type="dxa" w:w="1037"/>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DoltHub [8,9]</w:t>
            </w:r>
          </w:p>
        </w:tc>
        <w:tc>
          <w:tcPr>
            <w:tcW w:type="dxa" w:w="14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Prolly Trees</w:t>
            </w:r>
          </w:p>
        </w:tc>
        <w:tc>
          <w:tcPr>
            <w:tcW w:type="dxa" w:w="17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Production SOTA comparator</w:t>
            </w:r>
          </w:p>
        </w:tc>
      </w:tr>
    </w:tbl>
    <w:p>
      <w:pPr>
        <w:pStyle w:val="Caption"/>
        <w:keepNext w:val="0"/>
        <w:widowControl/>
      </w:pPr>
      <w:r>
        <w:rPr>
          <w:rFonts w:ascii="Times New Roman" w:hAnsi="Times New Roman" w:eastAsia="Times New Roman" w:cs="Times New Roman"/>
          <w:color w:val="000000"/>
        </w:rPr>
        <w:t>Table 1: Literature-review matrix and the gap addressed by Revon.</w:t>
      </w:r>
    </w:p>
    <w:p>
      <w:pPr>
        <w:pStyle w:val="Heading2"/>
        <w:keepNext/>
        <w:widowControl/>
      </w:pPr>
      <w:r>
        <w:rPr>
          <w:rFonts w:ascii="Times New Roman" w:hAnsi="Times New Roman" w:eastAsia="Times New Roman" w:cs="Times New Roman"/>
          <w:color w:val="000000"/>
        </w:rPr>
        <w:t>2.4  Design Implications and Research Positioning</w:t>
      </w:r>
    </w:p>
    <w:p>
      <w:pPr>
        <w:widowControl/>
        <w:spacing w:after="0" w:line="272" w:lineRule="exact"/>
        <w:ind w:firstLine="0"/>
        <w:jc w:val="both"/>
      </w:pPr>
      <w:r>
        <w:rPr>
          <w:rFonts w:ascii="Times New Roman" w:hAnsi="Times New Roman" w:eastAsia="Times New Roman" w:cs="Times New Roman"/>
          <w:color w:val="000000"/>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u w:val="none"/>
          </w:rPr>
          <w:t>[10]</w:t>
        </w:r>
      </w:hyperlink>
      <w:r>
        <w:rPr>
          <w:rFonts w:ascii="Times New Roman" w:hAnsi="Times New Roman" w:eastAsia="Times New Roman" w:cs="Times New Roman"/>
          <w:color w:val="000000"/>
        </w:rPr>
        <w:t xml:space="preserve">. The storage-versus-recreation model in </w:t>
      </w:r>
      <w:hyperlink w:anchor="ref_versioning" w:history="1">
        <w:r>
          <w:rPr>
            <w:color w:val="0000FF"/>
            <w:u w:val="none"/>
          </w:rPr>
          <w:t>[6]</w:t>
        </w:r>
      </w:hyperlink>
      <w:r>
        <w:rPr>
          <w:rFonts w:ascii="Times New Roman" w:hAnsi="Times New Roman" w:eastAsia="Times New Roman" w:cs="Times New Roman"/>
          <w:color w:val="000000"/>
        </w:rPr>
        <w:t xml:space="preserve"> makes this trade-off explicit. Decibel and OrpheusDB likewise show that one physical layout does not dominate scans, version retrieval, and storage for every branching workload </w:t>
      </w:r>
      <w:hyperlink w:anchor="ref_orpheus" w:history="1">
        <w:r>
          <w:rPr>
            <w:color w:val="0000FF"/>
            <w:u w:val="none"/>
          </w:rPr>
          <w:t>[11]</w:t>
        </w:r>
      </w:hyperlink>
      <w:r>
        <w:rPr>
          <w:rFonts w:ascii="Times New Roman" w:hAnsi="Times New Roman" w:eastAsia="Times New Roman" w:cs="Times New Roman"/>
          <w:color w:val="000000"/>
        </w:rPr>
        <w:t xml:space="preserve">, </w:t>
      </w:r>
      <w:hyperlink w:anchor="ref_decibel" w:history="1">
        <w:r>
          <w:rPr>
            <w:color w:val="0000FF"/>
            <w:u w:val="none"/>
          </w:rPr>
          <w:t>[12]</w:t>
        </w:r>
      </w:hyperlink>
      <w:r>
        <w:rPr>
          <w:rFonts w:ascii="Times New Roman" w:hAnsi="Times New Roman" w:eastAsia="Times New Roman" w:cs="Times New Roman"/>
          <w:color w:val="000000"/>
        </w:rPr>
        <w:t>. For that reason, our evaluation reports import, commit, checkout, diff, and storage rather than using one measurement as a proxy for the system.</w:t>
      </w:r>
    </w:p>
    <w:p>
      <w:pPr>
        <w:widowControl/>
        <w:spacing w:after="0" w:line="272" w:lineRule="exact"/>
        <w:ind w:firstLine="216"/>
        <w:jc w:val="both"/>
      </w:pPr>
      <w:r>
        <w:rPr>
          <w:rFonts w:ascii="Times New Roman" w:hAnsi="Times New Roman" w:eastAsia="Times New Roman" w:cs="Times New Roman"/>
          <w:color w:val="000000"/>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u w:val="none"/>
          </w:rPr>
          <w:t>[3]</w:t>
        </w:r>
      </w:hyperlink>
      <w:r>
        <w:rPr>
          <w:rFonts w:ascii="Times New Roman" w:hAnsi="Times New Roman" w:eastAsia="Times New Roman" w:cs="Times New Roman"/>
          <w:color w:val="000000"/>
        </w:rPr>
        <w:t xml:space="preserve">. Noms and Dolt use content-defined boundaries to form history-independent Prolly Trees </w:t>
      </w:r>
      <w:hyperlink w:anchor="ref_noms"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xml:space="preserve">, while ForkBase reuses addressed content across objects, branches, and versions </w:t>
      </w:r>
      <w:hyperlink w:anchor="ref_forkbase" w:history="1">
        <w:r>
          <w:rPr>
            <w:color w:val="0000FF"/>
            <w:u w:val="none"/>
          </w:rPr>
          <w:t>[15]</w:t>
        </w:r>
      </w:hyperlink>
      <w:r>
        <w:rPr>
          <w:rFonts w:ascii="Times New Roman" w:hAnsi="Times New Roman" w:eastAsia="Times New Roman" w:cs="Times New Roman"/>
          <w:color w:val="000000"/>
        </w:rPr>
        <w:t>. Revon chooses fixed hash-derived routes. This choice removes ordered range access and adaptive boundaries, but gives the experiment a stable geometry whose depth and branching factor can be measured.</w:t>
      </w:r>
    </w:p>
    <w:p>
      <w:pPr>
        <w:widowControl/>
        <w:spacing w:after="0" w:line="272" w:lineRule="exact"/>
        <w:ind w:firstLine="216"/>
        <w:jc w:val="both"/>
      </w:pPr>
      <w:r>
        <w:rPr>
          <w:rFonts w:ascii="Times New Roman" w:hAnsi="Times New Roman" w:eastAsia="Times New Roman" w:cs="Times New Roman"/>
          <w:color w:val="000000"/>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pPr>
        <w:pStyle w:val="Heading1"/>
        <w:keepNext/>
        <w:widowControl/>
      </w:pPr>
      <w:r>
        <w:rPr>
          <w:rFonts w:ascii="Times New Roman" w:hAnsi="Times New Roman" w:eastAsia="Times New Roman" w:cs="Times New Roman"/>
          <w:color w:val="000000"/>
        </w:rPr>
        <w:t>3  Revon Design</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87886"/>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2706624" cy="158788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1: Revon system architecture and the boundary of its research contribution.</w:t>
      </w:r>
    </w:p>
    <w:p>
      <w:pPr>
        <w:pStyle w:val="Heading2"/>
        <w:keepNext/>
        <w:widowControl/>
      </w:pPr>
      <w:r>
        <w:rPr>
          <w:rFonts w:ascii="Times New Roman" w:hAnsi="Times New Roman" w:eastAsia="Times New Roman" w:cs="Times New Roman"/>
          <w:color w:val="000000"/>
        </w:rPr>
        <w:t>3.1  Addressed Object Model</w:t>
      </w:r>
    </w:p>
    <w:p>
      <w:pPr>
        <w:widowControl/>
        <w:spacing w:after="0" w:line="272" w:lineRule="exact"/>
        <w:ind w:firstLine="0"/>
        <w:jc w:val="both"/>
      </w:pPr>
      <w:r>
        <w:rPr>
          <w:rFonts w:ascii="Times New Roman" w:hAnsi="Times New Roman" w:eastAsia="Times New Roman" w:cs="Times New Roman"/>
          <w:color w:val="000000"/>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pPr>
        <w:pStyle w:val="Heading2"/>
        <w:keepNext/>
        <w:widowControl/>
      </w:pPr>
      <w:r>
        <w:rPr>
          <w:rFonts w:ascii="Times New Roman" w:hAnsi="Times New Roman" w:eastAsia="Times New Roman" w:cs="Times New Roman"/>
          <w:color w:val="000000"/>
        </w:rPr>
        <w:t>3.2  Fixed-Depth Merkle Hash Trie</w:t>
      </w:r>
    </w:p>
    <w:p>
      <w:pPr>
        <w:widowControl/>
        <w:spacing w:after="0" w:line="272" w:lineRule="exact"/>
        <w:ind w:firstLine="0"/>
        <w:jc w:val="both"/>
      </w:pPr>
      <w:r>
        <w:rPr>
          <w:rFonts w:ascii="Times New Roman" w:hAnsi="Times New Roman" w:eastAsia="Times New Roman" w:cs="Times New Roman"/>
          <w:color w:val="000000"/>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pPr>
        <w:pStyle w:val="Heading2"/>
        <w:keepNext/>
        <w:widowControl/>
      </w:pPr>
      <w:r>
        <w:rPr>
          <w:rFonts w:ascii="Times New Roman" w:hAnsi="Times New Roman" w:eastAsia="Times New Roman" w:cs="Times New Roman"/>
          <w:color w:val="000000"/>
        </w:rPr>
        <w:t>3.3  Incremental Hashing and Commit</w:t>
      </w:r>
    </w:p>
    <w:p>
      <w:pPr>
        <w:widowControl/>
        <w:spacing w:after="0" w:line="272" w:lineRule="exact"/>
        <w:ind w:firstLine="0"/>
        <w:jc w:val="both"/>
      </w:pPr>
      <w:r>
        <w:rPr>
          <w:rFonts w:ascii="Times New Roman" w:hAnsi="Times New Roman" w:eastAsia="Times New Roman" w:cs="Times New Roman"/>
          <w:color w:val="000000"/>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407444"/>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5"/>
                    <a:stretch>
                      <a:fillRect/>
                    </a:stretch>
                  </pic:blipFill>
                  <pic:spPr>
                    <a:xfrm>
                      <a:off x="0" y="0"/>
                      <a:ext cx="2706624" cy="1407444"/>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2: Incremental commit path and adaptive diff decision.</w:t>
      </w:r>
    </w:p>
    <w:p>
      <w:pPr>
        <w:pStyle w:val="Heading2"/>
        <w:keepNext/>
        <w:widowControl/>
      </w:pPr>
      <w:r>
        <w:rPr>
          <w:rFonts w:ascii="Times New Roman" w:hAnsi="Times New Roman" w:eastAsia="Times New Roman" w:cs="Times New Roman"/>
          <w:color w:val="000000"/>
        </w:rPr>
        <w:t>3.4  Hybrid Diff</w:t>
      </w:r>
    </w:p>
    <w:p>
      <w:pPr>
        <w:widowControl/>
        <w:spacing w:after="0" w:line="272" w:lineRule="exact"/>
        <w:ind w:firstLine="0"/>
        <w:jc w:val="both"/>
      </w:pPr>
      <w:r>
        <w:rPr>
          <w:rFonts w:ascii="Times New Roman" w:hAnsi="Times New Roman" w:eastAsia="Times New Roman" w:cs="Times New Roman"/>
          <w:color w:val="000000"/>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pPr>
        <w:pStyle w:val="Heading1"/>
        <w:keepNext/>
        <w:widowControl/>
      </w:pPr>
      <w:r>
        <w:rPr>
          <w:rFonts w:ascii="Times New Roman" w:hAnsi="Times New Roman" w:eastAsia="Times New Roman" w:cs="Times New Roman"/>
          <w:color w:val="000000"/>
        </w:rPr>
        <w:t>4  Experimental Methodology</w:t>
      </w:r>
    </w:p>
    <w:p>
      <w:pPr>
        <w:pStyle w:val="Heading2"/>
        <w:keepNext/>
        <w:widowControl/>
      </w:pPr>
      <w:r>
        <w:rPr>
          <w:rFonts w:ascii="Times New Roman" w:hAnsi="Times New Roman" w:eastAsia="Times New Roman" w:cs="Times New Roman"/>
          <w:color w:val="000000"/>
        </w:rPr>
        <w:t>4.1  Variants and Workloads</w:t>
      </w:r>
    </w:p>
    <w:p>
      <w:pPr>
        <w:widowControl/>
        <w:spacing w:after="0" w:line="272" w:lineRule="exact"/>
        <w:ind w:firstLine="0"/>
        <w:jc w:val="both"/>
      </w:pPr>
      <w:r>
        <w:rPr>
          <w:rFonts w:ascii="Times New Roman" w:hAnsi="Times New Roman" w:eastAsia="Times New Roman" w:cs="Times New Roman"/>
          <w:color w:val="000000"/>
        </w:rPr>
        <w:t>Five implementations receive identical logical states and mutation batches: a complete Snapshot per version, an initial state plus operation-log baseline, forced-Merkle Revon-M, adaptive Revon-H, and Dolt 2.3.1 using a keyed SQL table and native diff. Revon-M is not a headline product variant; it isolates the selector.</w:t>
      </w:r>
    </w:p>
    <w:tbl>
      <w:tblPr>
        <w:tblW w:type="dxa" w:w="4270"/>
        <w:jc w:val="left"/>
        <w:tblLayout w:type="fixed"/>
        <w:tblLook w:firstColumn="1" w:firstRow="1" w:lastColumn="0" w:lastRow="0" w:noHBand="0" w:noVBand="1" w:val="04A0"/>
        <w:tblInd w:type="dxa" w:w="25"/>
      </w:tblPr>
      <w:tblGrid>
        <w:gridCol w:w="1159"/>
        <w:gridCol w:w="725"/>
        <w:gridCol w:w="696"/>
        <w:gridCol w:w="821"/>
        <w:gridCol w:w="869"/>
      </w:tblGrid>
      <w:tr>
        <w:trPr>
          <w:cantSplit/>
          <w:tblHeader w:val="true"/>
        </w:trPr>
        <w:tc>
          <w:tcPr>
            <w:tcW w:type="dxa" w:w="115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25"/>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Rows</w:t>
            </w:r>
          </w:p>
        </w:tc>
        <w:tc>
          <w:tcPr>
            <w:tcW w:type="dxa" w:w="696"/>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Comm.</w:t>
            </w:r>
          </w:p>
        </w:tc>
        <w:tc>
          <w:tcPr>
            <w:tcW w:type="dxa" w:w="82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Changes</w:t>
            </w:r>
          </w:p>
        </w:tc>
        <w:tc>
          <w:tcPr>
            <w:tcW w:type="dxa" w:w="8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Locality</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25"/>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hot</w:t>
            </w:r>
          </w:p>
        </w:tc>
      </w:tr>
    </w:tbl>
    <w:p>
      <w:pPr>
        <w:pStyle w:val="Caption"/>
        <w:keepNext w:val="0"/>
        <w:widowControl/>
      </w:pPr>
      <w:r>
        <w:rPr>
          <w:rFonts w:ascii="Times New Roman" w:hAnsi="Times New Roman" w:eastAsia="Times New Roman" w:cs="Times New Roman"/>
          <w:color w:val="000000"/>
        </w:rPr>
        <w:t>Table 2: Final evaluation workload matrix.</w:t>
      </w:r>
    </w:p>
    <w:p>
      <w:pPr>
        <w:pStyle w:val="Heading2"/>
        <w:keepNext/>
        <w:widowControl/>
      </w:pPr>
      <w:r>
        <w:rPr>
          <w:rFonts w:ascii="Times New Roman" w:hAnsi="Times New Roman" w:eastAsia="Times New Roman" w:cs="Times New Roman"/>
          <w:color w:val="000000"/>
        </w:rPr>
        <w:t>4.2  Measurement Contract</w:t>
      </w:r>
    </w:p>
    <w:p>
      <w:pPr>
        <w:widowControl/>
        <w:spacing w:after="0" w:line="272" w:lineRule="exact"/>
        <w:ind w:firstLine="0"/>
        <w:jc w:val="both"/>
      </w:pPr>
      <w:r>
        <w:rPr>
          <w:rFonts w:ascii="Times New Roman" w:hAnsi="Times New Roman" w:eastAsia="Times New Roman" w:cs="Times New Roman"/>
          <w:color w:val="000000"/>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pPr>
      <w:r>
        <w:rPr>
          <w:rFonts w:ascii="Times New Roman" w:hAnsi="Times New Roman" w:eastAsia="Times New Roman" w:cs="Times New Roman"/>
          <w:color w:val="000000"/>
        </w:rPr>
        <w:t>4.3  Repetition, Calibration, and Integrity</w:t>
      </w:r>
    </w:p>
    <w:p>
      <w:pPr>
        <w:widowControl/>
        <w:spacing w:after="0" w:line="272" w:lineRule="exact"/>
        <w:ind w:firstLine="0"/>
        <w:jc w:val="both"/>
      </w:pPr>
      <w:r>
        <w:rPr>
          <w:rFonts w:ascii="Times New Roman" w:hAnsi="Times New Roman" w:eastAsia="Times New Roman" w:cs="Times New Roman"/>
          <w:color w:val="000000"/>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6"/>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3: Independent threshold calibration; 4,096 is the largest sampled log-favorable point.</w:t>
      </w:r>
    </w:p>
    <w:p>
      <w:pPr>
        <w:widowControl/>
        <w:spacing w:after="0" w:line="272" w:lineRule="exact"/>
        <w:ind w:firstLine="216"/>
        <w:jc w:val="both"/>
      </w:pPr>
      <w:r>
        <w:rPr>
          <w:rFonts w:ascii="Times New Roman" w:hAnsi="Times New Roman" w:eastAsia="Times New Roman" w:cs="Times New Roman"/>
          <w:color w:val="000000"/>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pPr>
      <w:r>
        <w:rPr>
          <w:rFonts w:ascii="Times New Roman" w:hAnsi="Times New Roman" w:eastAsia="Times New Roman" w:cs="Times New Roman"/>
          <w:color w:val="000000"/>
        </w:rPr>
        <w:t>5  Results</w:t>
      </w:r>
    </w:p>
    <w:p>
      <w:pPr>
        <w:pStyle w:val="Heading2"/>
        <w:keepNext/>
        <w:widowControl/>
      </w:pPr>
      <w:r>
        <w:rPr>
          <w:rFonts w:ascii="Times New Roman" w:hAnsi="Times New Roman" w:eastAsia="Times New Roman" w:cs="Times New Roman"/>
          <w:color w:val="000000"/>
        </w:rPr>
        <w:t>5.1  Final Diff Performance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578608" cy="1465735"/>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7"/>
                    <a:stretch>
                      <a:fillRect/>
                    </a:stretch>
                  </pic:blipFill>
                  <pic:spPr>
                    <a:xfrm>
                      <a:off x="0" y="0"/>
                      <a:ext cx="2578608" cy="1465735"/>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4: Final diff latency from the audited CSV bundle; lower is better.</w:t>
      </w:r>
    </w:p>
    <w:tbl>
      <w:tblPr>
        <w:tblW w:type="dxa" w:w="4270"/>
        <w:jc w:val="left"/>
        <w:tblLayout w:type="fixed"/>
        <w:tblLook w:firstColumn="1" w:firstRow="1" w:lastColumn="0" w:lastRow="0" w:noHBand="0" w:noVBand="1" w:val="04A0"/>
        <w:tblInd w:type="dxa" w:w="25"/>
      </w:tblPr>
      <w:tblGrid>
        <w:gridCol w:w="1271"/>
        <w:gridCol w:w="712"/>
        <w:gridCol w:w="732"/>
        <w:gridCol w:w="864"/>
        <w:gridCol w:w="691"/>
      </w:tblGrid>
      <w:tr>
        <w:trPr>
          <w:cantSplit/>
          <w:tblHeader w:val="true"/>
        </w:trPr>
        <w:tc>
          <w:tcPr>
            <w:tcW w:type="dxa" w:w="127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1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Path</w:t>
            </w:r>
          </w:p>
        </w:tc>
        <w:tc>
          <w:tcPr>
            <w:tcW w:type="dxa" w:w="73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H ms</w:t>
            </w:r>
          </w:p>
        </w:tc>
        <w:tc>
          <w:tcPr>
            <w:tcW w:type="dxa" w:w="8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Dolt ms</w:t>
            </w:r>
          </w:p>
        </w:tc>
        <w:tc>
          <w:tcPr>
            <w:tcW w:type="dxa" w:w="69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Ratio</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0.417</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188.91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453.3x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0.553</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306.47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554.2x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56.496</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326.01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3.082</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180.77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58.7x</w:t>
            </w:r>
          </w:p>
        </w:tc>
      </w:tr>
      <w:tr>
        <w:trPr>
          <w:cantSplit/>
        </w:trPr>
        <w:tc>
          <w:tcPr>
            <w:tcW w:type="dxa" w:w="127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1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2.031</w:t>
            </w:r>
          </w:p>
        </w:tc>
        <w:tc>
          <w:tcPr>
            <w:tcW w:type="dxa" w:w="8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182.41</w:t>
            </w:r>
          </w:p>
        </w:tc>
        <w:tc>
          <w:tcPr>
            <w:tcW w:type="dxa" w:w="69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89.8x</w:t>
            </w:r>
          </w:p>
        </w:tc>
      </w:tr>
    </w:tbl>
    <w:p>
      <w:pPr>
        <w:pStyle w:val="Caption"/>
        <w:keepNext w:val="0"/>
        <w:widowControl/>
      </w:pPr>
      <w:r>
        <w:rPr>
          <w:rFonts w:ascii="Times New Roman" w:hAnsi="Times New Roman" w:eastAsia="Times New Roman" w:cs="Times New Roman"/>
          <w:color w:val="000000"/>
        </w:rPr>
        <w:t>Table 3: Revon-H versus Dolt median diff latency.</w:t>
      </w:r>
    </w:p>
    <w:p>
      <w:pPr>
        <w:widowControl/>
        <w:spacing w:after="0" w:line="272" w:lineRule="exact"/>
        <w:ind w:firstLine="216"/>
        <w:jc w:val="both"/>
      </w:pPr>
      <w:r>
        <w:rPr>
          <w:rFonts w:ascii="Times New Roman" w:hAnsi="Times New Roman" w:eastAsia="Times New Roman" w:cs="Times New Roman"/>
          <w:color w:val="000000"/>
        </w:rPr>
        <w:t>Revon-H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pPr>
      <w:r>
        <w:rPr>
          <w:rFonts w:ascii="Times New Roman" w:hAnsi="Times New Roman" w:eastAsia="Times New Roman" w:cs="Times New Roman"/>
          <w:color w:val="000000"/>
        </w:rPr>
        <w:t>5.2  Hybrid Ablation</w:t>
      </w:r>
    </w:p>
    <w:p>
      <w:pPr>
        <w:widowControl/>
        <w:spacing w:after="0" w:line="272" w:lineRule="exact"/>
        <w:ind w:firstLine="0"/>
        <w:jc w:val="both"/>
      </w:pPr>
      <w:r>
        <w:rPr>
          <w:rFonts w:ascii="Times New Roman" w:hAnsi="Times New Roman" w:eastAsia="Times New Roman" w:cs="Times New Roman"/>
          <w:color w:val="000000"/>
        </w:rPr>
        <w:t>For log-selected workloads, Revon-H reduced median diff latency relative to forced-Merkle Revon-M by 6.0x (small sparse), 8.7x (medium sparse), 8.8x (large sparse), and 10.0x (large hot). In medium-dense, both used Merkle and Revon-H was within 7.3% of the forced variant. This supports the selector's intended mechanism without claiming that its threshold is hardware-independent.</w:t>
      </w:r>
    </w:p>
    <w:p>
      <w:pPr>
        <w:pStyle w:val="Heading2"/>
        <w:keepNext/>
        <w:widowControl/>
      </w:pPr>
      <w:r>
        <w:rPr>
          <w:rFonts w:ascii="Times New Roman" w:hAnsi="Times New Roman" w:eastAsia="Times New Roman" w:cs="Times New Roman"/>
          <w:color w:val="000000"/>
        </w:rPr>
        <w:t>5.3  Commit, Checkout, and Storage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396048"/>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8"/>
                    <a:stretch>
                      <a:fillRect/>
                    </a:stretch>
                  </pic:blipFill>
                  <pic:spPr>
                    <a:xfrm>
                      <a:off x="0" y="0"/>
                      <a:ext cx="2706624" cy="1396048"/>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5: Revon-H and Dolt operational latency; lower is better.</w:t>
      </w:r>
    </w:p>
    <w:p>
      <w:pPr>
        <w:widowControl/>
        <w:spacing w:after="0" w:line="272" w:lineRule="exact"/>
        <w:ind w:firstLine="216"/>
        <w:jc w:val="both"/>
      </w:pPr>
      <w:r>
        <w:rPr>
          <w:rFonts w:ascii="Times New Roman" w:hAnsi="Times New Roman" w:eastAsia="Times New Roman" w:cs="Times New Roman"/>
          <w:color w:val="000000"/>
        </w:rPr>
        <w:t>Revon-H incremental commit medians were 2.3x to 37.4x lower than Dolt, and checkout medians were 35.8x to 123.4x lower. Initial import was mixed: Revon-H was 4.9x faster for small sparse and 1.14x faster for medium sparse, approximately tied for medium dense, and 2.73x to 2.79x slower at 100,000 rows. The latency advantage is therefore not uniform.</w:t>
      </w:r>
    </w:p>
    <w:p>
      <w:pPr>
        <w:widowControl/>
        <w:spacing w:after="0" w:line="272" w:lineRule="exact"/>
        <w:ind w:firstLine="216"/>
        <w:jc w:val="both"/>
      </w:pPr>
      <w:r>
        <w:rPr>
          <w:rFonts w:ascii="Times New Roman" w:hAnsi="Times New Roman" w:eastAsia="Times New Roman" w:cs="Times New Roman"/>
          <w:color w:val="000000"/>
        </w:rPr>
        <w:t>Revon-H paid a consistent storage cost. Its median repository footprint was 1.83x, 3.16x, 2.19x, 4.10x, and 6.43x Dolt's for small sparse through large hot, respectively. The 100,000-row Revon repositories occupied about 34.4 MiB. This reflects inline values, JSON object encoding, and the absence of compact chunk packing and garbage collection.</w:t>
      </w:r>
    </w:p>
    <w:p>
      <w:pPr>
        <w:pStyle w:val="Heading2"/>
        <w:keepNext/>
        <w:widowControl/>
      </w:pPr>
      <w:r>
        <w:rPr>
          <w:rFonts w:ascii="Times New Roman" w:hAnsi="Times New Roman" w:eastAsia="Times New Roman" w:cs="Times New Roman"/>
          <w:color w:val="000000"/>
        </w:rPr>
        <w:t>5.4  Trie-Parameter Sensitivity</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9"/>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6: Fixed-trie sensitivity; the preferred point depends on the objective.</w:t>
      </w:r>
    </w:p>
    <w:p>
      <w:pPr>
        <w:widowControl/>
        <w:spacing w:after="0" w:line="272" w:lineRule="exact"/>
        <w:ind w:firstLine="216"/>
        <w:jc w:val="both"/>
      </w:pPr>
      <w:r>
        <w:rPr>
          <w:rFonts w:ascii="Times New Roman" w:hAnsi="Times New Roman" w:eastAsia="Times New Roman" w:cs="Times New Roman"/>
          <w:color w:val="000000"/>
        </w:rPr>
        <w:t>All 45 sensitivity trials were correct. The b8-d3 configuration delivered the lowest median diff latency (20.15 ms versus 44.43 ms for b8-d4) and compared 84.3% fewer node pairs, but consumed 61.2% more storage and examined three times as many leaf entries. The current b8-d4 default used the least storage (4.27 MiB). The over-deep b8-d5 design was slower for every timed operation and used 44.8% more storage. Thus b8-d4 is a storage-conscious balanced default, not a universal optimum.</w:t>
      </w:r>
    </w:p>
    <w:p>
      <w:pPr>
        <w:pStyle w:val="Heading1"/>
        <w:keepNext/>
        <w:widowControl/>
      </w:pPr>
      <w:r>
        <w:rPr>
          <w:rFonts w:ascii="Times New Roman" w:hAnsi="Times New Roman" w:eastAsia="Times New Roman" w:cs="Times New Roman"/>
          <w:color w:val="000000"/>
        </w:rPr>
        <w:t>6  Discussion</w:t>
      </w:r>
    </w:p>
    <w:p>
      <w:pPr>
        <w:widowControl/>
        <w:spacing w:after="0" w:line="272" w:lineRule="exact"/>
        <w:ind w:firstLine="0"/>
        <w:jc w:val="both"/>
      </w:pPr>
      <w:r>
        <w:rPr>
          <w:rFonts w:ascii="Times New Roman" w:hAnsi="Times New Roman" w:eastAsia="Times New Roman" w:cs="Times New Roman"/>
          <w:color w:val="000000"/>
        </w:rPr>
        <w:t>The results answer RQ1 with a trade-off rather than a single winner. Revon-H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pPr>
        <w:widowControl/>
        <w:spacing w:after="0" w:line="272" w:lineRule="exact"/>
        <w:ind w:firstLine="216"/>
        <w:jc w:val="both"/>
      </w:pPr>
      <w:r>
        <w:rPr>
          <w:rFonts w:ascii="Times New Roman" w:hAnsi="Times New Roman" w:eastAsia="Times New Roman" w:cs="Times New Roman"/>
          <w:color w:val="000000"/>
        </w:rPr>
        <w:t>RQ2 is supported more directly. Because Revon-H and Revon-M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0" w:line="272" w:lineRule="exact"/>
        <w:ind w:firstLine="216"/>
        <w:jc w:val="both"/>
      </w:pPr>
      <w:r>
        <w:rPr>
          <w:rFonts w:ascii="Times New Roman" w:hAnsi="Times New Roman" w:eastAsia="Times New Roman" w:cs="Times New Roman"/>
          <w:color w:val="000000"/>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pPr>
        <w:widowControl/>
        <w:spacing w:after="0" w:line="272" w:lineRule="exact"/>
        <w:ind w:firstLine="216"/>
        <w:jc w:val="both"/>
      </w:pPr>
      <w:r>
        <w:rPr>
          <w:rFonts w:ascii="Times New Roman" w:hAnsi="Times New Roman" w:eastAsia="Times New Roman" w:cs="Times New Roman"/>
          <w:color w:val="000000"/>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pPr>
        <w:pStyle w:val="Heading1"/>
        <w:keepNext/>
        <w:widowControl/>
      </w:pPr>
      <w:r>
        <w:rPr>
          <w:rFonts w:ascii="Times New Roman" w:hAnsi="Times New Roman" w:eastAsia="Times New Roman" w:cs="Times New Roman"/>
          <w:color w:val="000000"/>
        </w:rPr>
        <w:t>7  Limitations and Threats to Validity</w:t>
      </w:r>
    </w:p>
    <w:p>
      <w:pPr>
        <w:pStyle w:val="ListBullet"/>
        <w:widowControl/>
      </w:pPr>
      <w:r>
        <w:rPr>
          <w:rFonts w:ascii="Times New Roman" w:hAnsi="Times New Roman" w:eastAsia="Times New Roman" w:cs="Times New Roman"/>
          <w:color w:val="000000"/>
        </w:rPr>
        <w:t>Runtime and interface asymmetry: Revon executes in-process in Python, whereas Dolt is a mature Go executable invoked repeatedly through CLI and SQL interfaces.</w:t>
      </w:r>
    </w:p>
    <w:p>
      <w:pPr>
        <w:pStyle w:val="ListBullet"/>
        <w:widowControl/>
      </w:pPr>
      <w:r>
        <w:rPr>
          <w:rFonts w:ascii="Times New Roman" w:hAnsi="Times New Roman" w:eastAsia="Times New Roman" w:cs="Times New Roman"/>
          <w:color w:val="000000"/>
        </w:rPr>
        <w:t>Feature asymmetry: Revon supports one writer and a linear history, but not SQL, branches, merges, remotes, schema evolution, or production concurrency.</w:t>
      </w:r>
    </w:p>
    <w:p>
      <w:pPr>
        <w:pStyle w:val="ListBullet"/>
        <w:widowControl/>
      </w:pPr>
      <w:r>
        <w:rPr>
          <w:rFonts w:ascii="Times New Roman" w:hAnsi="Times New Roman" w:eastAsia="Times New Roman" w:cs="Times New Roman"/>
          <w:color w:val="000000"/>
        </w:rPr>
        <w:t>Synthetic scope: the deterministic key/value workloads reach 100,000 rows, but cannot represent every real schema, key skew, payload size, or history length.</w:t>
      </w:r>
    </w:p>
    <w:p>
      <w:pPr>
        <w:pStyle w:val="ListBullet"/>
        <w:widowControl/>
      </w:pPr>
      <w:r>
        <w:rPr>
          <w:rFonts w:ascii="Times New Roman" w:hAnsi="Times New Roman" w:eastAsia="Times New Roman" w:cs="Times New Roman"/>
          <w:color w:val="000000"/>
        </w:rPr>
        <w:t>Single environment: all results were obtained on one Windows 11 machine, where cache state, scheduling, filesystem behavior, and antivirus activity can affect short measurements.</w:t>
      </w:r>
    </w:p>
    <w:p>
      <w:pPr>
        <w:pStyle w:val="ListBullet"/>
        <w:widowControl/>
      </w:pPr>
      <w:r>
        <w:rPr>
          <w:rFonts w:ascii="Times New Roman" w:hAnsi="Times New Roman" w:eastAsia="Times New Roman" w:cs="Times New Roman"/>
          <w:color w:val="000000"/>
        </w:rPr>
        <w:t>Calibration boundary: 4,096 is the largest sampled operation count that favored the log; this does not establish a universal crossover.</w:t>
      </w:r>
    </w:p>
    <w:p>
      <w:pPr>
        <w:pStyle w:val="ListBullet"/>
        <w:widowControl/>
      </w:pPr>
      <w:r>
        <w:rPr>
          <w:rFonts w:ascii="Times New Roman" w:hAnsi="Times New Roman" w:eastAsia="Times New Roman" w:cs="Times New Roman"/>
          <w:color w:val="000000"/>
        </w:rPr>
        <w:t>Memory comparability: Python tracemalloc and Dolt process-memory readings are not equivalent, so no cross-system memory graph is reported.</w:t>
      </w:r>
    </w:p>
    <w:p>
      <w:pPr>
        <w:pStyle w:val="ListBullet"/>
        <w:widowControl/>
      </w:pPr>
      <w:r>
        <w:rPr>
          <w:rFonts w:ascii="Times New Roman" w:hAnsi="Times New Roman" w:eastAsia="Times New Roman" w:cs="Times New Roman"/>
          <w:color w:val="000000"/>
        </w:rPr>
        <w:t>Work-unit mismatch: keys, log operations, trie-node pairs, and Dolt's internal work do not form a single normalized measure.</w:t>
      </w:r>
    </w:p>
    <w:p>
      <w:pPr>
        <w:pStyle w:val="ListBullet"/>
        <w:widowControl/>
      </w:pPr>
      <w:r>
        <w:rPr>
          <w:rFonts w:ascii="Times New Roman" w:hAnsi="Times New Roman" w:eastAsia="Times New Roman" w:cs="Times New Roman"/>
          <w:color w:val="000000"/>
        </w:rPr>
        <w:t>Outlier policy: all 83 Tukey candidates were kept. Medians and interquartile ranges limit their influence, but seven measured trials do not demonstrate normality.</w:t>
      </w:r>
    </w:p>
    <w:p>
      <w:pPr>
        <w:pStyle w:val="Heading1"/>
        <w:keepNext/>
        <w:widowControl/>
      </w:pPr>
      <w:r>
        <w:rPr>
          <w:rFonts w:ascii="Times New Roman" w:hAnsi="Times New Roman" w:eastAsia="Times New Roman" w:cs="Times New Roman"/>
          <w:color w:val="000000"/>
        </w:rPr>
        <w:t>8  Future Work</w:t>
      </w:r>
    </w:p>
    <w:p>
      <w:pPr>
        <w:widowControl/>
        <w:spacing w:after="0" w:line="272" w:lineRule="exact"/>
        <w:ind w:firstLine="0"/>
        <w:jc w:val="both"/>
      </w:pPr>
      <w:r>
        <w:rPr>
          <w:rFonts w:ascii="Times New Roman" w:hAnsi="Times New Roman" w:eastAsia="Times New Roman" w:cs="Times New Roman"/>
          <w:color w:val="000000"/>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pPr>
        <w:widowControl/>
        <w:spacing w:after="0" w:line="272" w:lineRule="exact"/>
        <w:ind w:firstLine="216"/>
        <w:jc w:val="both"/>
      </w:pPr>
      <w:r>
        <w:rPr>
          <w:rFonts w:ascii="Times New Roman" w:hAnsi="Times New Roman" w:eastAsia="Times New Roman" w:cs="Times New Roman"/>
          <w:color w:val="000000"/>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pPr>
        <w:widowControl/>
        <w:spacing w:after="0" w:line="272" w:lineRule="exact"/>
        <w:ind w:firstLine="216"/>
        <w:jc w:val="both"/>
      </w:pPr>
      <w:r>
        <w:rPr>
          <w:rFonts w:ascii="Times New Roman" w:hAnsi="Times New Roman" w:eastAsia="Times New Roman" w:cs="Times New Roman"/>
          <w:color w:val="000000"/>
        </w:rPr>
        <w:t>To move beyond a linear prototype, Revon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widowControl/>
        <w:spacing w:after="0"/>
      </w:pPr>
      <w:r>
        <w:rPr>
          <w:rFonts w:ascii="Times New Roman" w:hAnsi="Times New Roman" w:eastAsia="Times New Roman" w:cs="Times New Roman"/>
          <w:color w:val="000000"/>
        </w:rPr>
        <w:br w:type="page"/>
      </w:r>
    </w:p>
    <w:p>
      <w:pPr>
        <w:pStyle w:val="Heading1"/>
        <w:keepNext/>
        <w:widowControl/>
      </w:pPr>
      <w:r>
        <w:rPr>
          <w:rFonts w:ascii="Times New Roman" w:hAnsi="Times New Roman" w:eastAsia="Times New Roman" w:cs="Times New Roman"/>
          <w:color w:val="000000"/>
        </w:rPr>
        <w:t>9  Conclusion</w:t>
      </w:r>
    </w:p>
    <w:p>
      <w:pPr>
        <w:widowControl/>
        <w:spacing w:after="0" w:line="272" w:lineRule="exact"/>
        <w:ind w:firstLine="0"/>
        <w:jc w:val="both"/>
      </w:pPr>
      <w:r>
        <w:rPr>
          <w:rFonts w:ascii="Times New Roman" w:hAnsi="Times New Roman" w:eastAsia="Times New Roman" w:cs="Times New Roman"/>
          <w:color w:val="000000"/>
        </w:rPr>
        <w:t>Revon demonstrates a complete content-addressed versioning path for structured key/value data: canonical immutable objects, incremental copy-on-write Merkle trie updates, atomic SQLite persistence, historical checkout, and adaptive differencing. The audited 333-trial comparison shows that Revon-H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pPr>
      <w:r>
        <w:rPr>
          <w:rFonts w:ascii="Times New Roman" w:hAnsi="Times New Roman" w:eastAsia="Times New Roman" w:cs="Times New Roman"/>
          <w:color w:val="000000"/>
        </w:rPr>
        <w:t>Acknowledgment</w:t>
      </w:r>
    </w:p>
    <w:p>
      <w:pPr>
        <w:widowControl/>
        <w:spacing w:after="0" w:line="272" w:lineRule="exact"/>
        <w:ind w:firstLine="0"/>
        <w:jc w:val="both"/>
      </w:pPr>
      <w:r>
        <w:rPr>
          <w:rFonts w:ascii="Times New Roman" w:hAnsi="Times New Roman" w:eastAsia="Times New Roman" w:cs="Times New Roman"/>
          <w:color w:val="000000"/>
        </w:rPr>
        <w:t>The authors acknowledge the open-source Dolt project and the researchers whose dataset-versioning systems informed the experimental design.</w:t>
      </w:r>
    </w:p>
    <w:p>
      <w:pPr>
        <w:pStyle w:val="Heading1"/>
        <w:keepNext/>
        <w:widowControl/>
      </w:pPr>
      <w:r>
        <w:rPr>
          <w:rFonts w:ascii="Times New Roman" w:hAnsi="Times New Roman" w:eastAsia="Times New Roman" w:cs="Times New Roman"/>
          <w:color w:val="000000"/>
        </w:rPr>
        <w:t>References</w:t>
      </w:r>
    </w:p>
    <w:p>
      <w:bookmarkStart w:id="1" w:name="ref_delta"/>
      <w:pPr>
        <w:pStyle w:val="IEEEReference"/>
        <w:widowControl/>
      </w:pPr>
      <w:r>
        <w:rPr>
          <w:rFonts w:ascii="Times New Roman" w:hAnsi="Times New Roman" w:eastAsia="Times New Roman" w:cs="Times New Roman"/>
          <w:color w:val="000000"/>
        </w:rPr>
        <w:t>[1] Michael Armbrust et al. 2020. Delta Lake: High-Performance ACID Table Storage over Cloud Object Stores. Proceedings of the VLDB Endowment, 13(12):3411-3424. doi:10.14778/3415478.3415560.</w:t>
      </w:r>
      <w:bookmarkEnd w:id="1"/>
    </w:p>
    <w:p>
      <w:bookmarkStart w:id="2" w:name="ref_noms"/>
      <w:pPr>
        <w:pStyle w:val="IEEEReference"/>
        <w:widowControl/>
      </w:pPr>
      <w:r>
        <w:rPr>
          <w:rFonts w:ascii="Times New Roman" w:hAnsi="Times New Roman" w:eastAsia="Times New Roman" w:cs="Times New Roman"/>
          <w:color w:val="000000"/>
        </w:rPr>
        <w:t>[2] Attic Labs. n.d. Noms technical overview. GitHub. https://github.com/attic-labs/noms/blob/master/doc/intro.md.</w:t>
      </w:r>
      <w:bookmarkEnd w:id="2"/>
    </w:p>
    <w:p>
      <w:bookmarkStart w:id="3" w:name="ref_mst"/>
      <w:pPr>
        <w:pStyle w:val="IEEEReference"/>
        <w:widowControl/>
      </w:pPr>
      <w:r>
        <w:rPr>
          <w:rFonts w:ascii="Times New Roman" w:hAnsi="Times New Roman" w:eastAsia="Times New Roman" w:cs="Times New Roman"/>
          <w:color w:val="000000"/>
        </w:rPr>
        <w:t>[3] Alex Auvolat and Francois Taiani. 2019. Merkle Search Trees: Efficient State-Based CRDTs in Open Networks. 38th IEEE International Symposium on Reliable Distributed Systems, pages 1-10. doi:10.1109/SRDS47363.2019.00032.</w:t>
      </w:r>
      <w:bookmarkEnd w:id="3"/>
    </w:p>
    <w:p>
      <w:bookmarkStart w:id="4" w:name="ref_ipfs"/>
      <w:pPr>
        <w:pStyle w:val="IEEEReference"/>
        <w:widowControl/>
      </w:pPr>
      <w:r>
        <w:rPr>
          <w:rFonts w:ascii="Times New Roman" w:hAnsi="Times New Roman" w:eastAsia="Times New Roman" w:cs="Times New Roman"/>
          <w:color w:val="000000"/>
        </w:rPr>
        <w:t>[4] Juan Benet. 2014. IPFS - Content Addressed, Versioned, P2P File System. arXiv:1407.3561.</w:t>
      </w:r>
      <w:bookmarkEnd w:id="4"/>
    </w:p>
    <w:p>
      <w:bookmarkStart w:id="5" w:name="ref_datahub"/>
      <w:pPr>
        <w:pStyle w:val="IEEEReference"/>
        <w:widowControl/>
      </w:pPr>
      <w:r>
        <w:rPr>
          <w:rFonts w:ascii="Times New Roman" w:hAnsi="Times New Roman" w:eastAsia="Times New Roman" w:cs="Times New Roman"/>
          <w:color w:val="000000"/>
        </w:rPr>
        <w:t>[5]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5"/>
    </w:p>
    <w:p>
      <w:bookmarkStart w:id="6" w:name="ref_versioning"/>
      <w:pPr>
        <w:pStyle w:val="IEEEReference"/>
        <w:widowControl/>
      </w:pPr>
      <w:r>
        <w:rPr>
          <w:rFonts w:ascii="Times New Roman" w:hAnsi="Times New Roman" w:eastAsia="Times New Roman" w:cs="Times New Roman"/>
          <w:color w:val="000000"/>
        </w:rPr>
        <w:t>[6] Souvik Bhattacherjee, Amit Chavan, Silu Huang, Amol Deshpande, and Aditya Parameswaran. 2015. Principles of Dataset Versioning: Exploring the Recreation/Storage Tradeoff. Proceedings of the VLDB Endowment, 8(12):1346-1357. doi:10.14778/2824032.2824035.</w:t>
      </w:r>
      <w:bookmarkEnd w:id="6"/>
    </w:p>
    <w:p>
      <w:bookmarkStart w:id="7" w:name="ref_git"/>
      <w:pPr>
        <w:pStyle w:val="IEEEReference"/>
        <w:widowControl/>
      </w:pPr>
      <w:r>
        <w:rPr>
          <w:rFonts w:ascii="Times New Roman" w:hAnsi="Times New Roman" w:eastAsia="Times New Roman" w:cs="Times New Roman"/>
          <w:color w:val="000000"/>
        </w:rPr>
        <w:t>[7] Scott Chacon and Ben Straub. 2014. Git Internals - Git Objects. In Pro Git, 2nd edition. https://git-scm.com/book/en/v2/Git-Internals-Git-Objects.</w:t>
      </w:r>
      <w:bookmarkEnd w:id="7"/>
    </w:p>
    <w:p>
      <w:bookmarkStart w:id="8" w:name="ref_dolt_block"/>
      <w:pPr>
        <w:pStyle w:val="IEEEReference"/>
        <w:widowControl/>
      </w:pPr>
      <w:r>
        <w:rPr>
          <w:rFonts w:ascii="Times New Roman" w:hAnsi="Times New Roman" w:eastAsia="Times New Roman" w:cs="Times New Roman"/>
          <w:color w:val="000000"/>
        </w:rPr>
        <w:t>[8] DoltHub. 2024a. Dolt Storage Engine: Block Store. Dolt Documentation. https://www.dolthub.com/docs/architecture/storage-engine/block-store/.</w:t>
      </w:r>
      <w:bookmarkEnd w:id="8"/>
    </w:p>
    <w:p>
      <w:bookmarkStart w:id="9" w:name="ref_dolt_prolly"/>
      <w:pPr>
        <w:pStyle w:val="IEEEReference"/>
        <w:widowControl/>
      </w:pPr>
      <w:r>
        <w:rPr>
          <w:rFonts w:ascii="Times New Roman" w:hAnsi="Times New Roman" w:eastAsia="Times New Roman" w:cs="Times New Roman"/>
          <w:color w:val="000000"/>
        </w:rPr>
        <w:t>[9] DoltHub. 2024b. Dolt's Storage Engine: Prolly Trees and Commit Graph. https://www.dolthub.com/blog/2024-02-29-storage-engine/.</w:t>
      </w:r>
      <w:bookmarkEnd w:id="9"/>
    </w:p>
    <w:p>
      <w:bookmarkStart w:id="10" w:name="ref_persistent"/>
      <w:pPr>
        <w:pStyle w:val="IEEEReference"/>
        <w:widowControl/>
      </w:pPr>
      <w:r>
        <w:rPr>
          <w:rFonts w:ascii="Times New Roman" w:hAnsi="Times New Roman" w:eastAsia="Times New Roman" w:cs="Times New Roman"/>
          <w:color w:val="000000"/>
        </w:rPr>
        <w:t>[10] James R. Driscoll, Neil Sarnak, Daniel D. Sleator, and Robert E. Tarjan. 1989. Making Data Structures Persistent. Journal of Computer and System Sciences, 38(1):86-124. doi:10.1016/0022-0000(89)90034-2.</w:t>
      </w:r>
      <w:bookmarkEnd w:id="10"/>
    </w:p>
    <w:p>
      <w:bookmarkStart w:id="11" w:name="ref_orpheus"/>
      <w:pPr>
        <w:pStyle w:val="IEEEReference"/>
        <w:widowControl/>
      </w:pPr>
      <w:r>
        <w:rPr>
          <w:rFonts w:ascii="Times New Roman" w:hAnsi="Times New Roman"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1"/>
    </w:p>
    <w:p>
      <w:bookmarkStart w:id="12" w:name="ref_decibel"/>
      <w:pPr>
        <w:pStyle w:val="IEEEReference"/>
        <w:widowControl/>
      </w:pPr>
      <w:r>
        <w:rPr>
          <w:rFonts w:ascii="Times New Roman" w:hAnsi="Times New Roman" w:eastAsia="Times New Roman" w:cs="Times New Roman"/>
          <w:color w:val="000000"/>
        </w:rPr>
        <w:t>[12] Michael A. Maddox et al. 2016. Decibel: The Relational Dataset Branching System. Proceedings of the VLDB Endowment, 9(9):624-635. doi:10.14778/2947618.2947619.</w:t>
      </w:r>
      <w:bookmarkEnd w:id="12"/>
    </w:p>
    <w:p>
      <w:bookmarkStart w:id="13" w:name="ref_merkle"/>
      <w:pPr>
        <w:pStyle w:val="IEEEReference"/>
        <w:widowControl/>
      </w:pPr>
      <w:r>
        <w:rPr>
          <w:rFonts w:ascii="Times New Roman" w:hAnsi="Times New Roman" w:eastAsia="Times New Roman" w:cs="Times New Roman"/>
          <w:color w:val="000000"/>
        </w:rPr>
        <w:t>[13] Ralph C. Merkle. 1988. A Digital Signature Based on a Conventional Encryption Function. In Advances in Cryptology - CRYPTO '87, LNCS 293, pages 369-378. doi:10.1007/3-540-48184-2_32.</w:t>
      </w:r>
      <w:bookmarkEnd w:id="13"/>
    </w:p>
    <w:p>
      <w:bookmarkStart w:id="14" w:name="ref_lbfs"/>
      <w:pPr>
        <w:pStyle w:val="IEEEReference"/>
        <w:widowControl/>
      </w:pPr>
      <w:r>
        <w:rPr>
          <w:rFonts w:ascii="Times New Roman" w:hAnsi="Times New Roman" w:eastAsia="Times New Roman" w:cs="Times New Roman"/>
          <w:color w:val="000000"/>
        </w:rPr>
        <w:t>[14] Athicha Muthitacharoen, Benjie Chen, and David Mazieres. 2001. A Low-Bandwidth Network File System. Proceedings of the 18th ACM Symposium on Operating Systems Principles, pages 174-187. doi:10.1145/502034.502052.</w:t>
      </w:r>
      <w:bookmarkEnd w:id="14"/>
    </w:p>
    <w:p>
      <w:bookmarkStart w:id="15" w:name="ref_forkbase"/>
      <w:pPr>
        <w:pStyle w:val="IEEEReference"/>
        <w:widowControl/>
      </w:pPr>
      <w:r>
        <w:rPr>
          <w:rFonts w:ascii="Times New Roman" w:hAnsi="Times New Roman" w:eastAsia="Times New Roman" w:cs="Times New Roman"/>
          <w:color w:val="000000"/>
        </w:rPr>
        <w:t>[15] Sheng Wang et al. 2018. ForkBase: An Efficient Storage Engine for Blockchain and Forkable Applications. Proceedings of the VLDB Endowment, 11(10):1137-1150. doi:10.14778/3231751.3231762.</w:t>
      </w:r>
      <w:bookmarkEnd w:id="15"/>
    </w:p>
    <w:p>
      <w:pPr>
        <w:pStyle w:val="Heading1"/>
        <w:keepNext/>
        <w:widowControl/>
      </w:pPr>
      <w:r>
        <w:rPr>
          <w:rFonts w:ascii="Times New Roman" w:hAnsi="Times New Roman" w:eastAsia="Times New Roman" w:cs="Times New Roman"/>
          <w:color w:val="000000"/>
        </w:rPr>
        <w:t>Appendix A  Reproducibility and Data Availability</w:t>
      </w:r>
    </w:p>
    <w:p>
      <w:pPr>
        <w:widowControl/>
        <w:spacing w:after="0" w:line="272" w:lineRule="exact"/>
        <w:ind w:firstLine="0"/>
        <w:jc w:val="both"/>
      </w:pPr>
      <w:r>
        <w:rPr>
          <w:rFonts w:ascii="Times New Roman" w:hAnsi="Times New Roman" w:eastAsia="Times New Roman" w:cs="Times New Roman"/>
          <w:color w:val="000000"/>
        </w:rPr>
        <w:t xml:space="preserve">The repository contains the benchmark harness, evidence audit, trie-sensitivity harness, and paper generator. Source code, artifacts, and reproduction instructions are available at </w:t>
      </w:r>
      <w:hyperlink r:id="rId20" w:history="1">
        <w:r>
          <w:rPr>
            <w:rFonts w:ascii="Times New Roman" w:hAnsi="Times New Roman" w:eastAsia="Times New Roman" w:cs="Times New Roman"/>
            <w:color w:val="000000"/>
            <w:sz w:val="22"/>
            <w:u w:val="none"/>
          </w:rPr>
          <w:t>https://github.com/atharvasheersh/Revon</w:t>
        </w:r>
      </w:hyperlink>
      <w:r>
        <w:rPr>
          <w:rFonts w:ascii="Times New Roman" w:hAnsi="Times New Roman" w:eastAsia="Times New Roman" w:cs="Times New Roman"/>
          <w:color w:val="000000"/>
        </w:rPr>
        <w:t>. The final evidence bundle is evidence/paper-final-20260824; the sensitivity bundle is evidence/trie-sensitivity-20260824. Results in this paper are generated programmatically from their summary CSV files and verified against raw results and manifests; no table or graph uses an earlier validation export.</w:t>
      </w:r>
    </w:p>
    <w:p>
      <w:pPr>
        <w:widowControl/>
        <w:sectPr>
          <w:type w:val="continuous"/>
          <w:pgSz w:w="11906" w:h="16838"/>
          <w:pgMar w:top="1440" w:right="1440" w:bottom="1440" w:left="1440" w:header="432" w:footer="504" w:gutter="0"/>
          <w:cols w:num="2" w:space="346" w:equalWidth="1"/>
          <w:docGrid w:linePitch="360"/>
        </w:sectPr>
      </w:pPr>
    </w:p>
    <w:sectPr w:rsidR="00FC693F" w:rsidRPr="0006063C" w:rsidSect="00034616">
      <w:type w:val="continuous"/>
      <w:pgSz w:w="11906" w:h="16838"/>
      <w:pgMar w:top="1440" w:right="1440" w:bottom="1440" w:left="1440" w:header="432" w:footer="504"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2" w:lineRule="exact" w:after="0"/>
      <w:ind w:firstLine="216"/>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72" w:lineRule="exact"/>
      <w:ind w:firstLine="0"/>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40" w:line="272" w:lineRule="exact"/>
      <w:ind w:firstLine="0"/>
      <w:jc w:val="left"/>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line="272" w:lineRule="exact"/>
      <w:ind w:firstLine="0"/>
      <w:jc w:val="left"/>
      <w:outlineLvl w:val="2"/>
    </w:pPr>
    <w:rPr>
      <w:rFonts w:asciiTheme="majorHAnsi" w:eastAsiaTheme="majorEastAsia" w:hAnsiTheme="majorHAnsi" w:cstheme="majorBidi" w:ascii="Times New Roman" w:hAnsi="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60" w:line="320" w:lineRule="exact" w:before="160"/>
      <w:contextualSpacing/>
      <w:jc w:val="center"/>
    </w:pPr>
    <w:rPr>
      <w:rFonts w:asciiTheme="majorHAnsi" w:eastAsiaTheme="majorEastAsia" w:hAnsiTheme="majorHAnsi" w:cstheme="majorBidi" w:ascii="Times New Roman" w:hAnsi="Times New Roman"/>
      <w:b/>
      <w:color w:val="000000"/>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2" w:lineRule="exact"/>
      <w:ind w:left="288" w:hanging="216"/>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2" w:lineRule="exact"/>
      <w:ind w:left="288" w:hanging="216"/>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60" w:after="120"/>
      <w:ind w:firstLine="0"/>
      <w:jc w:val="left"/>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atharva.sheersh2024@vitstudent.ac.in" TargetMode="External"/><Relationship Id="rId12" Type="http://schemas.openxmlformats.org/officeDocument/2006/relationships/hyperlink" Target="mailto:adhyan.jain2024@vitstudent.ac.in" TargetMode="External"/><Relationship Id="rId13" Type="http://schemas.openxmlformats.org/officeDocument/2006/relationships/hyperlink" Target="mailto:poornima.n@vit.ac.in"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atharvasheersh/Rev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 Adhyan Jain; Poornima Nedunchezhian</cp:lastModifiedBy>
  <cp:revision>1</cp:revision>
  <dcterms:created xsi:type="dcterms:W3CDTF">2026-09-09T12:45:51Z</dcterms:created>
  <dcterms:modified xsi:type="dcterms:W3CDTF">2026-09-09T12:45:51Z</dcterms:modified>
  <cp:category/>
</cp:coreProperties>
</file>