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eastAsia="Times New Roman" w:cs="Times New Roman"/>
          <w:color w:val="000000"/>
        </w:rPr>
        <w:t>Chronos: A Content-Addressed Versioned Data Store: A Git-Inspired Approach to Structured Data Versioning Using Merkle Search Trees</w:t>
      </w:r>
    </w:p>
    <w:p>
      <w:pPr>
        <w:widowControl/>
        <w:spacing w:after="0"/>
        <w:ind w:firstLine="0"/>
        <w:jc w:val="center"/>
      </w:pPr>
      <w:r>
        <w:rPr>
          <w:rFonts w:ascii="Times New Roman" w:hAnsi="Times New Roman" w:eastAsia="Times New Roman" w:cs="Times New Roman"/>
          <w:color w:val="000000"/>
          <w:sz w:val="24"/>
        </w:rPr>
        <w:t>[Adhyan Jain]</w:t>
      </w:r>
      <w:r>
        <w:rPr>
          <w:rFonts w:ascii="Times New Roman" w:hAnsi="Times New Roman" w:eastAsia="Times New Roman" w:cs="Times New Roman"/>
          <w:color w:val="000000"/>
          <w:sz w:val="16"/>
          <w:vertAlign w:val="superscript"/>
        </w:rPr>
        <w:t>1</w:t>
      </w:r>
      <w:r>
        <w:rPr>
          <w:rFonts w:ascii="Times New Roman" w:hAnsi="Times New Roman" w:eastAsia="Times New Roman" w:cs="Times New Roman"/>
          <w:color w:val="000000"/>
          <w:sz w:val="24"/>
        </w:rPr>
        <w:t>, [Atharva Sheersh Pandey]</w:t>
      </w:r>
      <w:r>
        <w:rPr>
          <w:rFonts w:ascii="Times New Roman" w:hAnsi="Times New Roman" w:eastAsia="Times New Roman" w:cs="Times New Roman"/>
          <w:color w:val="000000"/>
          <w:sz w:val="16"/>
          <w:vertAlign w:val="superscript"/>
        </w:rPr>
        <w:t>1</w:t>
      </w:r>
    </w:p>
    <w:p>
      <w:pPr>
        <w:widowControl/>
        <w:spacing w:after="0"/>
        <w:ind w:firstLine="0"/>
        <w:jc w:val="center"/>
      </w:pPr>
      <w:r>
        <w:rPr>
          <w:rFonts w:ascii="Times New Roman" w:hAnsi="Times New Roman" w:eastAsia="Times New Roman" w:cs="Times New Roman"/>
          <w:color w:val="000000"/>
          <w:sz w:val="16"/>
          <w:vertAlign w:val="superscript"/>
        </w:rPr>
        <w:t>1</w:t>
      </w:r>
      <w:r>
        <w:rPr>
          <w:rFonts w:ascii="Times New Roman" w:hAnsi="Times New Roman" w:eastAsia="Times New Roman" w:cs="Times New Roman"/>
          <w:color w:val="000000"/>
          <w:sz w:val="22"/>
        </w:rPr>
        <w:t>Department of Computer Science and Engineering, VIT Vellore</w:t>
      </w:r>
    </w:p>
    <w:p>
      <w:pPr>
        <w:widowControl/>
        <w:spacing w:after="0"/>
        <w:ind w:firstLine="0"/>
        <w:jc w:val="center"/>
      </w:pPr>
      <w:r>
        <w:rPr>
          <w:rFonts w:ascii="Times New Roman" w:hAnsi="Times New Roman" w:eastAsia="Times New Roman" w:cs="Times New Roman"/>
          <w:color w:val="000000"/>
          <w:sz w:val="21"/>
          <w:u w:val="single"/>
        </w:rPr>
        <w:t>adhyan.jain2024@vitstudent.ac.in</w:t>
      </w:r>
      <w:r>
        <w:rPr>
          <w:rFonts w:ascii="Times New Roman" w:hAnsi="Times New Roman" w:eastAsia="Times New Roman" w:cs="Times New Roman"/>
          <w:color w:val="000000"/>
          <w:sz w:val="21"/>
          <w:u w:val="single"/>
        </w:rPr>
        <w:t>, atharva.sheersh2024@vitstudent.ac.in</w:t>
      </w:r>
    </w:p>
    <w:p>
      <w:pPr>
        <w:widowControl/>
        <w:spacing w:after="680"/>
        <w:ind w:firstLine="0"/>
        <w:jc w:val="center"/>
      </w:pPr>
      <w:r>
        <w:rPr>
          <w:rFonts w:ascii="Times New Roman" w:hAnsi="Times New Roman" w:eastAsia="Times New Roman" w:cs="Times New Roman"/>
          <w:color w:val="000000"/>
          <w:sz w:val="22"/>
        </w:rPr>
        <w:t>Guide: Dr. Poornima N, VIT Vellore</w:t>
      </w:r>
    </w:p>
    <w:p>
      <w:pPr>
        <w:widowControl/>
        <w:sectPr>
          <w:headerReference w:type="default" r:id="rId9"/>
          <w:footerReference w:type="default" r:id="rId10"/>
          <w:pgSz w:w="11906" w:h="16838"/>
          <w:pgMar w:top="1440" w:right="1440" w:bottom="1440" w:left="1440" w:header="432" w:footer="504" w:gutter="0"/>
          <w:cols w:num="1"/>
          <w:docGrid w:linePitch="360"/>
        </w:sectPr>
      </w:pPr>
    </w:p>
    <w:p>
      <w:pPr>
        <w:widowControl/>
        <w:spacing w:after="140"/>
        <w:ind w:firstLine="0"/>
        <w:jc w:val="center"/>
      </w:pPr>
      <w:r>
        <w:rPr>
          <w:rFonts w:ascii="Times New Roman" w:hAnsi="Times New Roman" w:eastAsia="Times New Roman" w:cs="Times New Roman"/>
          <w:b/>
          <w:color w:val="000000"/>
          <w:sz w:val="24"/>
        </w:rPr>
        <w:t>Abstract</w:t>
      </w:r>
    </w:p>
    <w:p>
      <w:pPr>
        <w:widowControl/>
        <w:spacing w:after="80" w:line="240" w:lineRule="exact"/>
        <w:ind w:firstLine="0" w:left="340" w:right="340"/>
        <w:jc w:val="both"/>
      </w:pPr>
      <w:r>
        <w:rPr>
          <w:rFonts w:ascii="Times New Roman" w:hAnsi="Times New Roman" w:eastAsia="Times New Roman" w:cs="Times New Roman"/>
          <w:color w:val="000000"/>
          <w:sz w:val="20"/>
        </w:rPr>
        <w:t>Versioning structured datasets requires durable history, efficient sparse updates, historical reconstruction, and comparison without copying or scanning every record. Chronos is a Python prototype built around an immutable fixed-depth Merkle hash trie. A commit rewrites only affected leaf buckets and the union of their ancestor paths; unchanged subtrees are reused by content hash. Chronos-H adds addressed changesets and selects between log aggregation and hash-pruned tree differencing using a separately calibrated threshold. We evaluate Snapshot, Log-only, forced-Merkle Chronos-M, Chronos-H, and Dolt 2.3.1 on identical deterministic workloads up to 100,000 rows. The audited paper run contains 333 successful and correct trials. Under the CLI-facing protocol, Chronos-H diff latency was 5.8x to 554.2x lower than Dolt and its incremental commit latency was 2.3x to 37.4x lower, while Chronos-H consumed 1.83x to 6.43x more repository storage. Against forced Merkle, the hybrid log path reduced median sparse or hot diff latency by 6.0x to 10.0x. A five-configuration sensitivity study shows that the current b=8, d=4 trie minimizes storage in the tested set, whereas b=8, d=3 favors latency. The results support a workload-dependent hybrid design, not universal superiority over a production SQL system.</w:t>
      </w:r>
    </w:p>
    <w:p>
      <w:pPr>
        <w:pStyle w:val="Heading1"/>
        <w:keepNext/>
        <w:widowControl/>
      </w:pPr>
      <w:r>
        <w:rPr>
          <w:rFonts w:ascii="Times New Roman" w:hAnsi="Times New Roman" w:eastAsia="Times New Roman" w:cs="Times New Roman"/>
          <w:color w:val="000000"/>
        </w:rPr>
        <w:t>1  Introduction</w:t>
      </w:r>
    </w:p>
    <w:p>
      <w:pPr>
        <w:widowControl/>
        <w:spacing w:after="0" w:line="272" w:lineRule="exact"/>
        <w:ind w:firstLine="0"/>
        <w:jc w:val="both"/>
      </w:pPr>
      <w:r>
        <w:rPr>
          <w:rFonts w:ascii="Times New Roman" w:hAnsi="Times New Roman" w:eastAsia="Times New Roman" w:cs="Times New Roman"/>
          <w:color w:val="000000"/>
        </w:rPr>
        <w:t xml:space="preserve">Version control for structured data is more than archiving files. A useful system must retain exact versions, apply sparse mutations without rebuilding the complete state, reconstruct historical versions, and identify changes efficiently. Git provides the starting idea--immutable objects named by content and commits linked to their parents </w:t>
      </w:r>
      <w:hyperlink w:anchor="ref_git" w:history="1">
        <w:r>
          <w:rPr>
            <w:color w:val="0000FF"/>
            <w:u w:val="none"/>
          </w:rPr>
          <w:t>[7]</w:t>
        </w:r>
      </w:hyperlink>
      <w:r>
        <w:rPr>
          <w:rFonts w:ascii="Times New Roman" w:hAnsi="Times New Roman" w:eastAsia="Times New Roman" w:cs="Times New Roman"/>
          <w:color w:val="000000"/>
        </w:rPr>
        <w:t>--but organizes those objects around files and directories. A record store presents a different workload: keys remain stable, update density varies, and two versions may be separated by a handful of edits or by a long sequence of commits.</w:t>
      </w:r>
    </w:p>
    <w:p>
      <w:pPr>
        <w:widowControl/>
        <w:spacing w:after="0" w:line="272" w:lineRule="exact"/>
        <w:ind w:firstLine="216"/>
        <w:jc w:val="both"/>
      </w:pPr>
      <w:r>
        <w:rPr>
          <w:rFonts w:ascii="Times New Roman" w:hAnsi="Times New Roman" w:eastAsia="Times New Roman" w:cs="Times New Roman"/>
          <w:color w:val="000000"/>
        </w:rPr>
        <w:t>Chronos evaluates whether a deliberately simple fixed-depth Merkle hash trie can unite incremental structural sharing with an operation index. Its primary variant, Chronos-H, uses the log path for short or sparse intervals and switches to the Merkle path when the accumulated operations cross a calibration boundary fixed before evaluation. SQLite provides atomic durable storage, but does not determine the versioning algorithm.</w:t>
      </w:r>
    </w:p>
    <w:p>
      <w:pPr>
        <w:widowControl/>
        <w:spacing w:after="0" w:line="272" w:lineRule="exact"/>
        <w:ind w:firstLine="216"/>
        <w:jc w:val="both"/>
      </w:pPr>
      <w:r>
        <w:rPr>
          <w:rFonts w:ascii="Times New Roman" w:hAnsi="Times New Roman" w:eastAsia="Times New Roman" w:cs="Times New Roman"/>
          <w:color w:val="000000"/>
        </w:rPr>
        <w:t xml:space="preserve">Dolt is the production comparator because it combines SQL semantics, a Git-style commit graph, and content-addressed Prolly Trees </w:t>
      </w:r>
      <w:hyperlink w:anchor="ref_dolt_block" w:history="1">
        <w:r>
          <w:rPr>
            <w:color w:val="0000FF"/>
            <w:u w:val="none"/>
          </w:rPr>
          <w:t>[8]</w:t>
        </w:r>
      </w:hyperlink>
      <w:r>
        <w:rPr>
          <w:rFonts w:ascii="Times New Roman" w:hAnsi="Times New Roman" w:eastAsia="Times New Roman" w:cs="Times New Roman"/>
          <w:color w:val="000000"/>
        </w:rPr>
        <w:t xml:space="preserve">, </w:t>
      </w:r>
      <w:hyperlink w:anchor="ref_dolt_prolly" w:history="1">
        <w:r>
          <w:rPr>
            <w:color w:val="0000FF"/>
            <w:u w:val="none"/>
          </w:rPr>
          <w:t>[9]</w:t>
        </w:r>
      </w:hyperlink>
      <w:r>
        <w:rPr>
          <w:rFonts w:ascii="Times New Roman" w:hAnsi="Times New Roman" w:eastAsia="Times New Roman" w:cs="Times New Roman"/>
          <w:color w:val="000000"/>
        </w:rPr>
        <w:t>. Chronos is not presented as a feature replacement for Dolt. The comparison instead identifies the performance and storage trade-offs of a smaller instrumentable mechanism under a reproducible CLI-facing protocol.</w:t>
      </w:r>
    </w:p>
    <w:p>
      <w:pPr>
        <w:pStyle w:val="Heading2"/>
        <w:keepNext/>
        <w:widowControl/>
      </w:pPr>
      <w:r>
        <w:rPr>
          <w:rFonts w:ascii="Times New Roman" w:hAnsi="Times New Roman" w:eastAsia="Times New Roman" w:cs="Times New Roman"/>
          <w:color w:val="000000"/>
        </w:rPr>
        <w:t>1.1  Research Questions</w:t>
      </w:r>
    </w:p>
    <w:p>
      <w:pPr>
        <w:pStyle w:val="ListBullet"/>
        <w:widowControl/>
      </w:pPr>
      <w:r>
        <w:rPr>
          <w:rFonts w:ascii="Times New Roman" w:hAnsi="Times New Roman" w:eastAsia="Times New Roman" w:cs="Times New Roman"/>
          <w:color w:val="000000"/>
        </w:rPr>
        <w:t>RQ1: What latency and storage trade-offs does Chronos-H exhibit against Snapshot, Log-only, and Dolt across dataset size, mutation density, and locality?</w:t>
      </w:r>
    </w:p>
    <w:p>
      <w:pPr>
        <w:pStyle w:val="ListBullet"/>
        <w:widowControl/>
      </w:pPr>
      <w:r>
        <w:rPr>
          <w:rFonts w:ascii="Times New Roman" w:hAnsi="Times New Roman" w:eastAsia="Times New Roman" w:cs="Times New Roman"/>
          <w:color w:val="000000"/>
        </w:rPr>
        <w:t>RQ2: Does adaptive log/Merkle selection improve diff latency relative to a forced-Merkle ablation without changing correctness?</w:t>
      </w:r>
    </w:p>
    <w:p>
      <w:pPr>
        <w:pStyle w:val="ListBullet"/>
        <w:widowControl/>
      </w:pPr>
      <w:r>
        <w:rPr>
          <w:rFonts w:ascii="Times New Roman" w:hAnsi="Times New Roman" w:eastAsia="Times New Roman" w:cs="Times New Roman"/>
          <w:color w:val="000000"/>
        </w:rPr>
        <w:t>RQ3: How sensitive are fixed-trie latency, storage, and examined work to branching factor and depth?</w:t>
      </w:r>
    </w:p>
    <w:p>
      <w:pPr>
        <w:pStyle w:val="Heading2"/>
        <w:keepNext/>
        <w:widowControl/>
      </w:pPr>
      <w:r>
        <w:rPr>
          <w:rFonts w:ascii="Times New Roman" w:hAnsi="Times New Roman" w:eastAsia="Times New Roman" w:cs="Times New Roman"/>
          <w:color w:val="000000"/>
        </w:rPr>
        <w:t>1.2  Contributions</w:t>
      </w:r>
    </w:p>
    <w:p>
      <w:pPr>
        <w:pStyle w:val="ListBullet"/>
        <w:widowControl/>
      </w:pPr>
      <w:r>
        <w:rPr>
          <w:rFonts w:ascii="Times New Roman" w:hAnsi="Times New Roman" w:eastAsia="Times New Roman" w:cs="Times New Roman"/>
          <w:color w:val="000000"/>
        </w:rPr>
        <w:t>A canonical SHA-256-addressed fixed-depth trie with incremental multi-key path rewriting.</w:t>
      </w:r>
    </w:p>
    <w:p>
      <w:pPr>
        <w:pStyle w:val="ListBullet"/>
        <w:widowControl/>
      </w:pPr>
      <w:r>
        <w:rPr>
          <w:rFonts w:ascii="Times New Roman" w:hAnsi="Times New Roman" w:eastAsia="Times New Roman" w:cs="Times New Roman"/>
          <w:color w:val="000000"/>
        </w:rPr>
        <w:t>A hybrid diff policy combining addressed changesets with hash-pruned tree comparison.</w:t>
      </w:r>
    </w:p>
    <w:p>
      <w:pPr>
        <w:pStyle w:val="ListBullet"/>
        <w:widowControl/>
      </w:pPr>
      <w:r>
        <w:rPr>
          <w:rFonts w:ascii="Times New Roman" w:hAnsi="Times New Roman" w:eastAsia="Times New Roman" w:cs="Times New Roman"/>
          <w:color w:val="000000"/>
        </w:rPr>
        <w:t>An atomic SQLite repository that persists objects, commits, aliases, metrics, and HEAD and verifies hashes after reopen.</w:t>
      </w:r>
    </w:p>
    <w:p>
      <w:pPr>
        <w:pStyle w:val="ListBullet"/>
        <w:widowControl/>
      </w:pPr>
      <w:r>
        <w:rPr>
          <w:rFonts w:ascii="Times New Roman" w:hAnsi="Times New Roman" w:eastAsia="Times New Roman" w:cs="Times New Roman"/>
          <w:color w:val="000000"/>
        </w:rPr>
        <w:t>A five-variant benchmark with shared deterministic workloads, correctness oracles, Dolt integration, raw evidence, and an independently audited summary.</w:t>
      </w:r>
    </w:p>
    <w:p>
      <w:pPr>
        <w:pStyle w:val="ListBullet"/>
        <w:widowControl/>
      </w:pPr>
      <w:r>
        <w:rPr>
          <w:rFonts w:ascii="Times New Roman" w:hAnsi="Times New Roman" w:eastAsia="Times New Roman" w:cs="Times New Roman"/>
          <w:color w:val="000000"/>
        </w:rPr>
        <w:t>A controlled branching-factor/depth sensitivity study that prevents treating b=8, d=4 as universally optimal.</w:t>
      </w:r>
    </w:p>
    <w:p>
      <w:pPr>
        <w:pStyle w:val="Heading1"/>
        <w:keepNext/>
        <w:widowControl/>
      </w:pPr>
      <w:r>
        <w:rPr>
          <w:rFonts w:ascii="Times New Roman" w:hAnsi="Times New Roman" w:eastAsia="Times New Roman" w:cs="Times New Roman"/>
          <w:color w:val="000000"/>
        </w:rPr>
        <w:t>2  Literature Review and Related Work</w:t>
      </w:r>
    </w:p>
    <w:p>
      <w:pPr>
        <w:pStyle w:val="Heading2"/>
        <w:keepNext/>
        <w:widowControl/>
      </w:pPr>
      <w:r>
        <w:rPr>
          <w:rFonts w:ascii="Times New Roman" w:hAnsi="Times New Roman" w:eastAsia="Times New Roman" w:cs="Times New Roman"/>
          <w:color w:val="000000"/>
        </w:rPr>
        <w:t>2.1  Content Addressing and Persistent Structures</w:t>
      </w:r>
    </w:p>
    <w:p>
      <w:pPr>
        <w:widowControl/>
        <w:spacing w:after="0" w:line="272" w:lineRule="exact"/>
        <w:ind w:firstLine="0"/>
        <w:jc w:val="both"/>
      </w:pPr>
      <w:r>
        <w:rPr>
          <w:rFonts w:ascii="Times New Roman" w:hAnsi="Times New Roman" w:eastAsia="Times New Roman" w:cs="Times New Roman"/>
          <w:color w:val="000000"/>
        </w:rPr>
        <w:t xml:space="preserve">Merkle's authenticated tree construction established that a compact root digest can commit to a larger collection </w:t>
      </w:r>
      <w:hyperlink w:anchor="ref_merkle" w:history="1">
        <w:r>
          <w:rPr>
            <w:color w:val="0000FF"/>
            <w:u w:val="none"/>
          </w:rPr>
          <w:t>[13]</w:t>
        </w:r>
      </w:hyperlink>
      <w:r>
        <w:rPr>
          <w:rFonts w:ascii="Times New Roman" w:hAnsi="Times New Roman" w:eastAsia="Times New Roman" w:cs="Times New Roman"/>
          <w:color w:val="000000"/>
        </w:rPr>
        <w:t xml:space="preserve">, while persistent-data-structure theory formalized path copying and bounded-overhead access to historical versions </w:t>
      </w:r>
      <w:hyperlink w:anchor="ref_persistent" w:history="1">
        <w:r>
          <w:rPr>
            <w:color w:val="0000FF"/>
            <w:u w:val="none"/>
          </w:rPr>
          <w:t>[10]</w:t>
        </w:r>
      </w:hyperlink>
      <w:r>
        <w:rPr>
          <w:rFonts w:ascii="Times New Roman" w:hAnsi="Times New Roman" w:eastAsia="Times New Roman" w:cs="Times New Roman"/>
          <w:color w:val="000000"/>
        </w:rPr>
        <w:t xml:space="preserve">. Git applies content-addressed blobs, trees, and commits to software history </w:t>
      </w:r>
      <w:hyperlink w:anchor="ref_git" w:history="1">
        <w:r>
          <w:rPr>
            <w:color w:val="0000FF"/>
            <w:u w:val="none"/>
          </w:rPr>
          <w:t>[7]</w:t>
        </w:r>
      </w:hyperlink>
      <w:r>
        <w:rPr>
          <w:rFonts w:ascii="Times New Roman" w:hAnsi="Times New Roman" w:eastAsia="Times New Roman" w:cs="Times New Roman"/>
          <w:color w:val="000000"/>
        </w:rPr>
        <w:t xml:space="preserve">, and IPFS generalizes content-addressed links into a versionable Merkle DAG </w:t>
      </w:r>
      <w:hyperlink w:anchor="ref_ipfs" w:history="1">
        <w:r>
          <w:rPr>
            <w:color w:val="0000FF"/>
            <w:u w:val="none"/>
          </w:rPr>
          <w:t>[4]</w:t>
        </w:r>
      </w:hyperlink>
      <w:r>
        <w:rPr>
          <w:rFonts w:ascii="Times New Roman" w:hAnsi="Times New Roman" w:eastAsia="Times New Roman" w:cs="Times New Roman"/>
          <w:color w:val="000000"/>
        </w:rPr>
        <w:t>. Chronos adopts immutable object identity and parent links, but routes structured keys by hash into a persistent trie rather than mirroring a filesystem hierarchy.</w:t>
      </w:r>
    </w:p>
    <w:p>
      <w:pPr>
        <w:widowControl/>
        <w:spacing w:after="0" w:line="272" w:lineRule="exact"/>
        <w:ind w:firstLine="216"/>
        <w:jc w:val="both"/>
      </w:pPr>
      <w:r>
        <w:rPr>
          <w:rFonts w:ascii="Times New Roman" w:hAnsi="Times New Roman" w:eastAsia="Times New Roman" w:cs="Times New Roman"/>
          <w:color w:val="000000"/>
        </w:rPr>
        <w:t xml:space="preserve">Merkle Search Trees combine search-tree ordering with Merkle authentication for efficient state reconciliation </w:t>
      </w:r>
      <w:hyperlink w:anchor="ref_mst" w:history="1">
        <w:r>
          <w:rPr>
            <w:color w:val="0000FF"/>
            <w:u w:val="none"/>
          </w:rPr>
          <w:t>[3]</w:t>
        </w:r>
      </w:hyperlink>
      <w:r>
        <w:rPr>
          <w:rFonts w:ascii="Times New Roman" w:hAnsi="Times New Roman" w:eastAsia="Times New Roman" w:cs="Times New Roman"/>
          <w:color w:val="000000"/>
        </w:rPr>
        <w:t xml:space="preserve">. Chronos shares hash-pruned comparison but intentionally uses fixed-depth routing and a centralized commit history rather than a replicated CRDT. Content-defined chunking, established in LBFS for redundancy detection </w:t>
      </w:r>
      <w:hyperlink w:anchor="ref_lbfs" w:history="1">
        <w:r>
          <w:rPr>
            <w:color w:val="0000FF"/>
            <w:u w:val="none"/>
          </w:rPr>
          <w:t>[14]</w:t>
        </w:r>
      </w:hyperlink>
      <w:r>
        <w:rPr>
          <w:rFonts w:ascii="Times New Roman" w:hAnsi="Times New Roman" w:eastAsia="Times New Roman" w:cs="Times New Roman"/>
          <w:color w:val="000000"/>
        </w:rPr>
        <w:t>, also explains why history-independent boundaries are a credible storage improvement beyond the current fixed buckets.</w:t>
      </w:r>
    </w:p>
    <w:p>
      <w:pPr>
        <w:pStyle w:val="Heading2"/>
        <w:keepNext/>
        <w:widowControl/>
      </w:pPr>
      <w:r>
        <w:rPr>
          <w:rFonts w:ascii="Times New Roman" w:hAnsi="Times New Roman" w:eastAsia="Times New Roman" w:cs="Times New Roman"/>
          <w:color w:val="000000"/>
        </w:rPr>
        <w:t>2.2  Structured Dataset Versioning</w:t>
      </w:r>
    </w:p>
    <w:p>
      <w:pPr>
        <w:widowControl/>
        <w:spacing w:after="0" w:line="272" w:lineRule="exact"/>
        <w:ind w:firstLine="0"/>
        <w:jc w:val="both"/>
      </w:pPr>
      <w:r>
        <w:rPr>
          <w:rFonts w:ascii="Times New Roman" w:hAnsi="Times New Roman" w:eastAsia="Times New Roman" w:cs="Times New Roman"/>
          <w:color w:val="000000"/>
        </w:rPr>
        <w:t xml:space="preserve">Dataset-versioning research exposes a broader storage-retrieval design space. DataHub motivates collaborative dataset history at scale </w:t>
      </w:r>
      <w:hyperlink w:anchor="ref_datahub" w:history="1">
        <w:r>
          <w:rPr>
            <w:color w:val="0000FF"/>
            <w:u w:val="none"/>
          </w:rPr>
          <w:t>[5]</w:t>
        </w:r>
      </w:hyperlink>
      <w:r>
        <w:rPr>
          <w:rFonts w:ascii="Times New Roman" w:hAnsi="Times New Roman" w:eastAsia="Times New Roman" w:cs="Times New Roman"/>
          <w:color w:val="000000"/>
        </w:rPr>
        <w:t xml:space="preserve">. Decibel integrates branching into a relational storage engine and compares version-first, tuple-first, and hybrid layouts </w:t>
      </w:r>
      <w:hyperlink w:anchor="ref_decibel" w:history="1">
        <w:r>
          <w:rPr>
            <w:color w:val="0000FF"/>
            <w:u w:val="none"/>
          </w:rPr>
          <w:t>[12]</w:t>
        </w:r>
      </w:hyperlink>
      <w:r>
        <w:rPr>
          <w:rFonts w:ascii="Times New Roman" w:hAnsi="Times New Roman" w:eastAsia="Times New Roman" w:cs="Times New Roman"/>
          <w:color w:val="000000"/>
        </w:rPr>
        <w:t xml:space="preserve">. OrpheusDB bolts versioning onto a conventional DBMS and optimizes partitioning for version retrieval </w:t>
      </w:r>
      <w:hyperlink w:anchor="ref_orpheus" w:history="1">
        <w:r>
          <w:rPr>
            <w:color w:val="0000FF"/>
            <w:u w:val="none"/>
          </w:rPr>
          <w:t>[11]</w:t>
        </w:r>
      </w:hyperlink>
      <w:r>
        <w:rPr>
          <w:rFonts w:ascii="Times New Roman" w:hAnsi="Times New Roman" w:eastAsia="Times New Roman" w:cs="Times New Roman"/>
          <w:color w:val="000000"/>
        </w:rPr>
        <w:t xml:space="preserve">. The dataset-versioning model in </w:t>
      </w:r>
      <w:hyperlink w:anchor="ref_versioning" w:history="1">
        <w:r>
          <w:rPr>
            <w:color w:val="0000FF"/>
            <w:u w:val="none"/>
          </w:rPr>
          <w:t>[6]</w:t>
        </w:r>
      </w:hyperlink>
      <w:r>
        <w:rPr>
          <w:rFonts w:ascii="Times New Roman" w:hAnsi="Times New Roman" w:eastAsia="Times New Roman" w:cs="Times New Roman"/>
          <w:color w:val="000000"/>
        </w:rPr>
        <w:t xml:space="preserve"> formalizes the conflict between storing more materialized state and paying more reconstruction cost. Delta Lake represents the complementary log-and-checkpoint design for ACID tables and time travel </w:t>
      </w:r>
      <w:hyperlink w:anchor="ref_delta" w:history="1">
        <w:r>
          <w:rPr>
            <w:color w:val="0000FF"/>
            <w:u w:val="none"/>
          </w:rPr>
          <w:t>[1]</w:t>
        </w:r>
      </w:hyperlink>
      <w:r>
        <w:rPr>
          <w:rFonts w:ascii="Times New Roman" w:hAnsi="Times New Roman" w:eastAsia="Times New Roman" w:cs="Times New Roman"/>
          <w:color w:val="000000"/>
        </w:rPr>
        <w:t>. These systems motivate reporting commit, checkout, diff, and storage together rather than selecting a single metric.</w:t>
      </w:r>
    </w:p>
    <w:p>
      <w:pPr>
        <w:pStyle w:val="Heading2"/>
        <w:keepNext/>
        <w:widowControl/>
      </w:pPr>
      <w:r>
        <w:rPr>
          <w:rFonts w:ascii="Times New Roman" w:hAnsi="Times New Roman" w:eastAsia="Times New Roman" w:cs="Times New Roman"/>
          <w:color w:val="000000"/>
        </w:rPr>
        <w:t>2.3  System Design Gap</w:t>
      </w:r>
    </w:p>
    <w:p>
      <w:pPr>
        <w:widowControl/>
        <w:spacing w:after="0" w:line="272" w:lineRule="exact"/>
        <w:ind w:firstLine="0"/>
        <w:jc w:val="both"/>
      </w:pPr>
      <w:r>
        <w:rPr>
          <w:rFonts w:ascii="Times New Roman" w:hAnsi="Times New Roman" w:eastAsia="Times New Roman" w:cs="Times New Roman"/>
          <w:color w:val="000000"/>
        </w:rPr>
        <w:t xml:space="preserve">Noms represents structured data as a Merkle DAG of immutable chunks and supports efficient diff and synchronization </w:t>
      </w:r>
      <w:hyperlink w:anchor="ref_noms" w:history="1">
        <w:r>
          <w:rPr>
            <w:color w:val="0000FF"/>
            <w:u w:val="none"/>
          </w:rPr>
          <w:t>[2]</w:t>
        </w:r>
      </w:hyperlink>
      <w:r>
        <w:rPr>
          <w:rFonts w:ascii="Times New Roman" w:hAnsi="Times New Roman" w:eastAsia="Times New Roman" w:cs="Times New Roman"/>
          <w:color w:val="000000"/>
        </w:rPr>
        <w:t xml:space="preserve">. ForkBase combines content addressing, fork semantics, and duplicate-content detection for forkable applications </w:t>
      </w:r>
      <w:hyperlink w:anchor="ref_forkbase" w:history="1">
        <w:r>
          <w:rPr>
            <w:color w:val="0000FF"/>
            <w:u w:val="none"/>
          </w:rPr>
          <w:t>[15]</w:t>
        </w:r>
      </w:hyperlink>
      <w:r>
        <w:rPr>
          <w:rFonts w:ascii="Times New Roman" w:hAnsi="Times New Roman" w:eastAsia="Times New Roman" w:cs="Times New Roman"/>
          <w:color w:val="000000"/>
        </w:rPr>
        <w:t xml:space="preserve">. Dolt stores table indexes as content-addressed Prolly Trees: ordered, B-tree-like structures with history-independent chunk boundaries, structural sharing, and native diff </w:t>
      </w:r>
      <w:hyperlink w:anchor="ref_dolt_block" w:history="1">
        <w:r>
          <w:rPr>
            <w:color w:val="0000FF"/>
            <w:u w:val="none"/>
          </w:rPr>
          <w:t>[8]</w:t>
        </w:r>
      </w:hyperlink>
      <w:r>
        <w:rPr>
          <w:rFonts w:ascii="Times New Roman" w:hAnsi="Times New Roman" w:eastAsia="Times New Roman" w:cs="Times New Roman"/>
          <w:color w:val="000000"/>
        </w:rPr>
        <w:t xml:space="preserve">, </w:t>
      </w:r>
      <w:hyperlink w:anchor="ref_dolt_prolly" w:history="1">
        <w:r>
          <w:rPr>
            <w:color w:val="0000FF"/>
            <w:u w:val="none"/>
          </w:rPr>
          <w:t>[9]</w:t>
        </w:r>
      </w:hyperlink>
      <w:r>
        <w:rPr>
          <w:rFonts w:ascii="Times New Roman" w:hAnsi="Times New Roman" w:eastAsia="Times New Roman" w:cs="Times New Roman"/>
          <w:color w:val="000000"/>
        </w:rPr>
        <w:t>. Chronos differs by using fixed-depth hash routing and by exposing an explicit alternative operation-log path. This simplifies instrumentation, but gives up Dolt's ordered range behavior, SQL surface, mature branching, merging, and production engineering.</w:t>
      </w:r>
    </w:p>
    <w:tbl>
      <w:tblPr>
        <w:tblW w:type="dxa" w:w="4270"/>
        <w:jc w:val="left"/>
        <w:tblLayout w:type="fixed"/>
        <w:tblLook w:firstColumn="1" w:firstRow="1" w:lastColumn="0" w:lastRow="0" w:noHBand="0" w:noVBand="1" w:val="04A0"/>
        <w:tblInd w:type="dxa" w:w="25"/>
      </w:tblPr>
      <w:tblGrid>
        <w:gridCol w:w="1037"/>
        <w:gridCol w:w="1464"/>
        <w:gridCol w:w="1769"/>
      </w:tblGrid>
      <w:tr>
        <w:trPr>
          <w:cantSplit/>
          <w:tblHeader w:val="true"/>
        </w:trPr>
        <w:tc>
          <w:tcPr>
            <w:tcW w:type="dxa" w:w="1037"/>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left"/>
            </w:pPr>
            <w:r>
              <w:rPr>
                <w:rFonts w:ascii="Times New Roman" w:hAnsi="Times New Roman" w:eastAsia="Times New Roman" w:cs="Times New Roman"/>
                <w:b/>
                <w:color w:val="000000"/>
                <w:sz w:val="18"/>
              </w:rPr>
              <w:t>Prior work</w:t>
            </w:r>
          </w:p>
        </w:tc>
        <w:tc>
          <w:tcPr>
            <w:tcW w:type="dxa" w:w="1464"/>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Core representation</w:t>
            </w:r>
          </w:p>
        </w:tc>
        <w:tc>
          <w:tcPr>
            <w:tcW w:type="dxa" w:w="1769"/>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Relationship to Chronos</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Persistent DS [10]</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Path copying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Formal structural-sharing basis</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Git [7]</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Object DAG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Identity and commit ancestry; file-oriented</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IPFS [4]</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 DAG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General content-addressed versioning</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MST [3]</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 search tree</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Authenticated ordered reconciliation</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DataHub [5]</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Version graph</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Collaborative dataset motivation</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Decibel [12]</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Relational layouts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Native database branching</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OrpheusDB [11]</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Partitioned versions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Storage/retrieval optimization</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Delta Lake [1]</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Log/checkpoints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ACID time travel at data-lake scale</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Noms [2]</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 DAG</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Structured content addressing</w:t>
            </w:r>
          </w:p>
        </w:tc>
      </w:tr>
      <w:tr>
        <w:trPr>
          <w:cantSplit/>
        </w:trPr>
        <w:tc>
          <w:tcPr>
            <w:tcW w:type="dxa" w:w="1037"/>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ForkBase [15]</w:t>
            </w:r>
          </w:p>
        </w:tc>
        <w:tc>
          <w:tcPr>
            <w:tcW w:type="dxa" w:w="14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Forkable CAS</w:t>
            </w:r>
          </w:p>
        </w:tc>
        <w:tc>
          <w:tcPr>
            <w:tcW w:type="dxa" w:w="17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Fork and deduplication semantics</w:t>
            </w:r>
          </w:p>
        </w:tc>
      </w:tr>
      <w:tr>
        <w:trPr>
          <w:cantSplit/>
        </w:trPr>
        <w:tc>
          <w:tcPr>
            <w:tcW w:type="dxa" w:w="1037"/>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left"/>
            </w:pPr>
            <w:r>
              <w:rPr>
                <w:rFonts w:ascii="Times New Roman" w:hAnsi="Times New Roman" w:eastAsia="Times New Roman" w:cs="Times New Roman"/>
                <w:color w:val="000000"/>
                <w:sz w:val="18"/>
              </w:rPr>
              <w:t>DoltHub [8,9]</w:t>
            </w:r>
          </w:p>
        </w:tc>
        <w:tc>
          <w:tcPr>
            <w:tcW w:type="dxa" w:w="1464"/>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Prolly Trees</w:t>
            </w:r>
          </w:p>
        </w:tc>
        <w:tc>
          <w:tcPr>
            <w:tcW w:type="dxa" w:w="1769"/>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Production SOTA comparator</w:t>
            </w:r>
          </w:p>
        </w:tc>
      </w:tr>
    </w:tbl>
    <w:p>
      <w:pPr>
        <w:pStyle w:val="Caption"/>
        <w:keepNext w:val="0"/>
        <w:widowControl/>
      </w:pPr>
      <w:r>
        <w:rPr>
          <w:rFonts w:ascii="Times New Roman" w:hAnsi="Times New Roman" w:eastAsia="Times New Roman" w:cs="Times New Roman"/>
          <w:color w:val="000000"/>
        </w:rPr>
        <w:t>Table 1: Literature-review matrix and the gap addressed by Chronos.</w:t>
      </w:r>
    </w:p>
    <w:p>
      <w:pPr>
        <w:pStyle w:val="Heading2"/>
        <w:keepNext/>
        <w:widowControl/>
      </w:pPr>
      <w:r>
        <w:rPr>
          <w:rFonts w:ascii="Times New Roman" w:hAnsi="Times New Roman" w:eastAsia="Times New Roman" w:cs="Times New Roman"/>
          <w:color w:val="000000"/>
        </w:rPr>
        <w:t>2.4  Design Implications and Research Positioning</w:t>
      </w:r>
    </w:p>
    <w:p>
      <w:pPr>
        <w:widowControl/>
        <w:spacing w:after="0" w:line="272" w:lineRule="exact"/>
        <w:ind w:firstLine="0"/>
        <w:jc w:val="both"/>
      </w:pPr>
      <w:r>
        <w:rPr>
          <w:rFonts w:ascii="Times New Roman" w:hAnsi="Times New Roman" w:eastAsia="Times New Roman" w:cs="Times New Roman"/>
          <w:color w:val="000000"/>
        </w:rPr>
        <w:t xml:space="preserve">Three separate costs recur in the literature: retained history, creation of a new version, and later reconstruction or comparison. A snapshot keeps reconstruction straightforward by copying unchanged records. A log avoids that copy at commit time, but the deferred work returns during replay, compaction, or checkpointing. Path-copying persistent structures take a third route: only the paths changed by an update are new, while the remaining topology is shared </w:t>
      </w:r>
      <w:hyperlink w:anchor="ref_persistent" w:history="1">
        <w:r>
          <w:rPr>
            <w:color w:val="0000FF"/>
            <w:u w:val="none"/>
          </w:rPr>
          <w:t>[10]</w:t>
        </w:r>
      </w:hyperlink>
      <w:r>
        <w:rPr>
          <w:rFonts w:ascii="Times New Roman" w:hAnsi="Times New Roman" w:eastAsia="Times New Roman" w:cs="Times New Roman"/>
          <w:color w:val="000000"/>
        </w:rPr>
        <w:t xml:space="preserve">. The storage-versus-recreation model in </w:t>
      </w:r>
      <w:hyperlink w:anchor="ref_versioning" w:history="1">
        <w:r>
          <w:rPr>
            <w:color w:val="0000FF"/>
            <w:u w:val="none"/>
          </w:rPr>
          <w:t>[6]</w:t>
        </w:r>
      </w:hyperlink>
      <w:r>
        <w:rPr>
          <w:rFonts w:ascii="Times New Roman" w:hAnsi="Times New Roman" w:eastAsia="Times New Roman" w:cs="Times New Roman"/>
          <w:color w:val="000000"/>
        </w:rPr>
        <w:t xml:space="preserve"> makes this trade-off explicit. Decibel and OrpheusDB likewise show that one physical layout does not dominate scans, version retrieval, and storage for every branching workload </w:t>
      </w:r>
      <w:hyperlink w:anchor="ref_orpheus" w:history="1">
        <w:r>
          <w:rPr>
            <w:color w:val="0000FF"/>
            <w:u w:val="none"/>
          </w:rPr>
          <w:t>[11]</w:t>
        </w:r>
      </w:hyperlink>
      <w:r>
        <w:rPr>
          <w:rFonts w:ascii="Times New Roman" w:hAnsi="Times New Roman" w:eastAsia="Times New Roman" w:cs="Times New Roman"/>
          <w:color w:val="000000"/>
        </w:rPr>
        <w:t xml:space="preserve">, </w:t>
      </w:r>
      <w:hyperlink w:anchor="ref_decibel" w:history="1">
        <w:r>
          <w:rPr>
            <w:color w:val="0000FF"/>
            <w:u w:val="none"/>
          </w:rPr>
          <w:t>[12]</w:t>
        </w:r>
      </w:hyperlink>
      <w:r>
        <w:rPr>
          <w:rFonts w:ascii="Times New Roman" w:hAnsi="Times New Roman" w:eastAsia="Times New Roman" w:cs="Times New Roman"/>
          <w:color w:val="000000"/>
        </w:rPr>
        <w:t>. For that reason, our evaluation reports import, commit, checkout, diff, and storage rather than using one measurement as a proxy for the system.</w:t>
      </w:r>
    </w:p>
    <w:p>
      <w:pPr>
        <w:widowControl/>
        <w:spacing w:after="0" w:line="272" w:lineRule="exact"/>
        <w:ind w:firstLine="216"/>
        <w:jc w:val="both"/>
      </w:pPr>
      <w:r>
        <w:rPr>
          <w:rFonts w:ascii="Times New Roman" w:hAnsi="Times New Roman" w:eastAsia="Times New Roman" w:cs="Times New Roman"/>
          <w:color w:val="000000"/>
        </w:rPr>
        <w:t xml:space="preserve">Change detection is another point of separation. Comparing two complete states does not need a detailed history, although its work grows with the states being scanned. Replaying changesets instead makes the interval length decisive and requires an unbroken ancestry path with complete changesets. With Merkle differencing, matching subtree hashes stop the search; only mismatching branches are opened. The observed cost then depends on trie shape, leaf occupancy, key distribution, and where updates land. The MST retains key order </w:t>
      </w:r>
      <w:hyperlink w:anchor="ref_mst" w:history="1">
        <w:r>
          <w:rPr>
            <w:color w:val="0000FF"/>
            <w:u w:val="none"/>
          </w:rPr>
          <w:t>[3]</w:t>
        </w:r>
      </w:hyperlink>
      <w:r>
        <w:rPr>
          <w:rFonts w:ascii="Times New Roman" w:hAnsi="Times New Roman" w:eastAsia="Times New Roman" w:cs="Times New Roman"/>
          <w:color w:val="000000"/>
        </w:rPr>
        <w:t xml:space="preserve">. Noms and Dolt use content-defined boundaries to form history-independent Prolly Trees </w:t>
      </w:r>
      <w:hyperlink w:anchor="ref_noms" w:history="1">
        <w:r>
          <w:rPr>
            <w:color w:val="0000FF"/>
            <w:u w:val="none"/>
          </w:rPr>
          <w:t>[2]</w:t>
        </w:r>
      </w:hyperlink>
      <w:r>
        <w:rPr>
          <w:rFonts w:ascii="Times New Roman" w:hAnsi="Times New Roman" w:eastAsia="Times New Roman" w:cs="Times New Roman"/>
          <w:color w:val="000000"/>
        </w:rPr>
        <w:t xml:space="preserve">, </w:t>
      </w:r>
      <w:hyperlink w:anchor="ref_dolt_prolly" w:history="1">
        <w:r>
          <w:rPr>
            <w:color w:val="0000FF"/>
            <w:u w:val="none"/>
          </w:rPr>
          <w:t>[9]</w:t>
        </w:r>
      </w:hyperlink>
      <w:r>
        <w:rPr>
          <w:rFonts w:ascii="Times New Roman" w:hAnsi="Times New Roman" w:eastAsia="Times New Roman" w:cs="Times New Roman"/>
          <w:color w:val="000000"/>
        </w:rPr>
        <w:t xml:space="preserve">, while ForkBase reuses addressed content across objects, branches, and versions </w:t>
      </w:r>
      <w:hyperlink w:anchor="ref_forkbase" w:history="1">
        <w:r>
          <w:rPr>
            <w:color w:val="0000FF"/>
            <w:u w:val="none"/>
          </w:rPr>
          <w:t>[15]</w:t>
        </w:r>
      </w:hyperlink>
      <w:r>
        <w:rPr>
          <w:rFonts w:ascii="Times New Roman" w:hAnsi="Times New Roman" w:eastAsia="Times New Roman" w:cs="Times New Roman"/>
          <w:color w:val="000000"/>
        </w:rPr>
        <w:t>. Chronos chooses fixed hash-derived routes. This choice removes ordered range access and adaptive boundaries, but gives the experiment a stable geometry whose depth and branching factor can be measured.</w:t>
      </w:r>
    </w:p>
    <w:p>
      <w:pPr>
        <w:widowControl/>
        <w:spacing w:after="0" w:line="272" w:lineRule="exact"/>
        <w:ind w:firstLine="216"/>
        <w:jc w:val="both"/>
      </w:pPr>
      <w:r>
        <w:rPr>
          <w:rFonts w:ascii="Times New Roman" w:hAnsi="Times New Roman" w:eastAsia="Times New Roman" w:cs="Times New Roman"/>
          <w:color w:val="000000"/>
        </w:rPr>
        <w:t>The gap addressed here is not a new content-addressed store, but a controlled study in which two correct diff algorithms share one durable history and are chosen from observable properties of the requested interval. Every Chronos-H commit records both a Merkle root and an addressed changeset, so changing the diff path does not change the meaning of a version. We expect log aggregation to suit short, sparse intervals and hash pruning to become preferable after many operations. We also expect b and d to change latency, examined work, and storage. Snapshot and Log-only provide representation baselines; Chronos-M removes the selector; Chronos-H retains it; and Dolt provides a production reference point. This design tests the hybrid mechanism while keeping the system-level Dolt comparison separate from any claim about intrinsic tree superiority.</w:t>
      </w:r>
    </w:p>
    <w:p>
      <w:pPr>
        <w:pStyle w:val="Heading1"/>
        <w:keepNext/>
        <w:widowControl/>
      </w:pPr>
      <w:r>
        <w:rPr>
          <w:rFonts w:ascii="Times New Roman" w:hAnsi="Times New Roman" w:eastAsia="Times New Roman" w:cs="Times New Roman"/>
          <w:color w:val="000000"/>
        </w:rPr>
        <w:t>3  Chronos Design</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587886"/>
            <wp:docPr id="1" name="Picture 1" descr="Chronos layered architecture showing the frontend, REST API, Chronos-H core, SQLite object store, and the research contribution boundary." title="Chronos layered architecture showing the frontend, REST API, Chronos-H core, SQLite object store, and the research contribution boundary"/>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2706624" cy="1587886"/>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1: Chronos system architecture and the boundary of its research contribution.</w:t>
      </w:r>
    </w:p>
    <w:p>
      <w:pPr>
        <w:pStyle w:val="Heading2"/>
        <w:keepNext/>
        <w:widowControl/>
      </w:pPr>
      <w:r>
        <w:rPr>
          <w:rFonts w:ascii="Times New Roman" w:hAnsi="Times New Roman" w:eastAsia="Times New Roman" w:cs="Times New Roman"/>
          <w:color w:val="000000"/>
        </w:rPr>
        <w:t>3.1  Addressed Object Model</w:t>
      </w:r>
    </w:p>
    <w:p>
      <w:pPr>
        <w:widowControl/>
        <w:spacing w:after="0" w:line="272" w:lineRule="exact"/>
        <w:ind w:firstLine="0"/>
        <w:jc w:val="both"/>
      </w:pPr>
      <w:r>
        <w:rPr>
          <w:rFonts w:ascii="Times New Roman" w:hAnsi="Times New Roman" w:eastAsia="Times New Roman" w:cs="Times New Roman"/>
          <w:color w:val="000000"/>
        </w:rPr>
        <w:t>Chronos serializes trie nodes and changesets as canonical JSON, then names each object with its SHA-256 digest. The commit digest includes the root, parent, changeset, message, and timestamp. Labels such as v1 and v2 are only human-readable aliases; they do not determine object identity. The durable HEAD reference stores the current commit.</w:t>
      </w:r>
    </w:p>
    <w:p>
      <w:pPr>
        <w:pStyle w:val="Heading2"/>
        <w:keepNext/>
        <w:widowControl/>
      </w:pPr>
      <w:r>
        <w:rPr>
          <w:rFonts w:ascii="Times New Roman" w:hAnsi="Times New Roman" w:eastAsia="Times New Roman" w:cs="Times New Roman"/>
          <w:color w:val="000000"/>
        </w:rPr>
        <w:t>3.2  Fixed-Depth Merkle Hash Trie</w:t>
      </w:r>
    </w:p>
    <w:p>
      <w:pPr>
        <w:widowControl/>
        <w:spacing w:after="0" w:line="272" w:lineRule="exact"/>
        <w:ind w:firstLine="0"/>
        <w:jc w:val="both"/>
      </w:pPr>
      <w:r>
        <w:rPr>
          <w:rFonts w:ascii="Times New Roman" w:hAnsi="Times New Roman" w:eastAsia="Times New Roman" w:cs="Times New Roman"/>
          <w:color w:val="000000"/>
        </w:rPr>
        <w:t>For the main experiment we set b=8 and d=4. Each level reads three bits from SHA-256(key), so twelve routing bits address 4,096 possible leaf buckets. A bucket still stores the full key, which means that two keys sharing a routing prefix remain distinguishable. Under uniform hashes the expected bucket occupancy is N/b^d. We test other b,d pairs separately instead of assuming that this default is optimal.</w:t>
      </w:r>
    </w:p>
    <w:p>
      <w:pPr>
        <w:pStyle w:val="Heading2"/>
        <w:keepNext/>
        <w:widowControl/>
      </w:pPr>
      <w:r>
        <w:rPr>
          <w:rFonts w:ascii="Times New Roman" w:hAnsi="Times New Roman" w:eastAsia="Times New Roman" w:cs="Times New Roman"/>
          <w:color w:val="000000"/>
        </w:rPr>
        <w:t>3.3  Incremental Hashing and Commit</w:t>
      </w:r>
    </w:p>
    <w:p>
      <w:pPr>
        <w:widowControl/>
        <w:spacing w:after="0" w:line="272" w:lineRule="exact"/>
        <w:ind w:firstLine="0"/>
        <w:jc w:val="both"/>
      </w:pPr>
      <w:r>
        <w:rPr>
          <w:rFonts w:ascii="Times New Roman" w:hAnsi="Times New Roman" w:eastAsia="Times New Roman" w:cs="Times New Roman"/>
          <w:color w:val="000000"/>
        </w:rPr>
        <w:t>A mutation batch is canonicalized, routed, and grouped by shared prefixes. Each affected leaf is rewritten once, and only the union of affected ancestor paths is rebuilt. Unchanged child hashes are copied into new internal nodes, providing structural sharing. One SQLite transaction then inserts new objects, the changeset, commit metadata, version alias, measurements, and updated HEAD. Reopen verifies payload hashes and references.</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407444"/>
            <wp:docPr id="2" name="Picture 2" descr="Incremental commit workflow followed by Chronos-H selection between addressed changeset aggregation and hash-pruned Merkle comparison." title="Incremental commit workflow followed by Chronos-H selection between addressed changeset aggregation and hash-pruned Merkle comparison"/>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2706624" cy="1407444"/>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2: Incremental commit path and adaptive diff decision.</w:t>
      </w:r>
    </w:p>
    <w:p>
      <w:pPr>
        <w:pStyle w:val="Heading2"/>
        <w:keepNext/>
        <w:widowControl/>
      </w:pPr>
      <w:r>
        <w:rPr>
          <w:rFonts w:ascii="Times New Roman" w:hAnsi="Times New Roman" w:eastAsia="Times New Roman" w:cs="Times New Roman"/>
          <w:color w:val="000000"/>
        </w:rPr>
        <w:t>3.4  Hybrid Diff</w:t>
      </w:r>
    </w:p>
    <w:p>
      <w:pPr>
        <w:widowControl/>
        <w:spacing w:after="0" w:line="272" w:lineRule="exact"/>
        <w:ind w:firstLine="0"/>
        <w:jc w:val="both"/>
      </w:pPr>
      <w:r>
        <w:rPr>
          <w:rFonts w:ascii="Times New Roman" w:hAnsi="Times New Roman" w:eastAsia="Times New Roman" w:cs="Times New Roman"/>
          <w:color w:val="000000"/>
        </w:rPr>
        <w:t>The log path walks the ancestor chain and aggregates key operations. The Merkle path recursively compares roots, prunes equal subtree hashes, and examines full leaf entries only below unequal paths. Chronos-H counts accumulated ancestor operations and uses the log at or below 4,096 operations; it uses Merkle above that boundary. Chronos-M forces the Merkle path and therefore serves only as an ablation.</w:t>
      </w:r>
    </w:p>
    <w:p>
      <w:pPr>
        <w:pStyle w:val="Heading1"/>
        <w:keepNext/>
        <w:widowControl/>
      </w:pPr>
      <w:r>
        <w:rPr>
          <w:rFonts w:ascii="Times New Roman" w:hAnsi="Times New Roman" w:eastAsia="Times New Roman" w:cs="Times New Roman"/>
          <w:color w:val="000000"/>
        </w:rPr>
        <w:t>4  Experimental Methodology</w:t>
      </w:r>
    </w:p>
    <w:p>
      <w:pPr>
        <w:pStyle w:val="Heading2"/>
        <w:keepNext/>
        <w:widowControl/>
      </w:pPr>
      <w:r>
        <w:rPr>
          <w:rFonts w:ascii="Times New Roman" w:hAnsi="Times New Roman" w:eastAsia="Times New Roman" w:cs="Times New Roman"/>
          <w:color w:val="000000"/>
        </w:rPr>
        <w:t>4.1  Variants and Workloads</w:t>
      </w:r>
    </w:p>
    <w:p>
      <w:pPr>
        <w:widowControl/>
        <w:spacing w:after="0" w:line="272" w:lineRule="exact"/>
        <w:ind w:firstLine="0"/>
        <w:jc w:val="both"/>
      </w:pPr>
      <w:r>
        <w:rPr>
          <w:rFonts w:ascii="Times New Roman" w:hAnsi="Times New Roman" w:eastAsia="Times New Roman" w:cs="Times New Roman"/>
          <w:color w:val="000000"/>
        </w:rPr>
        <w:t>Five implementations receive identical logical states and mutation batches: a complete Snapshot per version, an initial state plus operation-log baseline, forced-Merkle Chronos-M, adaptive Chronos-H, and Dolt 2.3.1 using a keyed SQL table and native diff. Chronos-M is not a headline product variant; it isolates the selector.</w:t>
      </w:r>
    </w:p>
    <w:tbl>
      <w:tblPr>
        <w:tblW w:type="dxa" w:w="4270"/>
        <w:jc w:val="left"/>
        <w:tblLayout w:type="fixed"/>
        <w:tblLook w:firstColumn="1" w:firstRow="1" w:lastColumn="0" w:lastRow="0" w:noHBand="0" w:noVBand="1" w:val="04A0"/>
        <w:tblInd w:type="dxa" w:w="25"/>
      </w:tblPr>
      <w:tblGrid>
        <w:gridCol w:w="1159"/>
        <w:gridCol w:w="725"/>
        <w:gridCol w:w="696"/>
        <w:gridCol w:w="821"/>
        <w:gridCol w:w="869"/>
      </w:tblGrid>
      <w:tr>
        <w:trPr>
          <w:cantSplit/>
          <w:tblHeader w:val="true"/>
        </w:trPr>
        <w:tc>
          <w:tcPr>
            <w:tcW w:type="dxa" w:w="1159"/>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left"/>
            </w:pPr>
            <w:r>
              <w:rPr>
                <w:rFonts w:ascii="Times New Roman" w:hAnsi="Times New Roman" w:eastAsia="Times New Roman" w:cs="Times New Roman"/>
                <w:b/>
                <w:color w:val="000000"/>
                <w:sz w:val="18"/>
              </w:rPr>
              <w:t>Scenario</w:t>
            </w:r>
          </w:p>
        </w:tc>
        <w:tc>
          <w:tcPr>
            <w:tcW w:type="dxa" w:w="725"/>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Rows</w:t>
            </w:r>
          </w:p>
        </w:tc>
        <w:tc>
          <w:tcPr>
            <w:tcW w:type="dxa" w:w="696"/>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Comm.</w:t>
            </w:r>
          </w:p>
        </w:tc>
        <w:tc>
          <w:tcPr>
            <w:tcW w:type="dxa" w:w="821"/>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Changes</w:t>
            </w:r>
          </w:p>
        </w:tc>
        <w:tc>
          <w:tcPr>
            <w:tcW w:type="dxa" w:w="869"/>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Locality</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Small sparse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sparse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dense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Large sparse</w:t>
            </w:r>
          </w:p>
        </w:tc>
        <w:tc>
          <w:tcPr>
            <w:tcW w:type="dxa" w:w="725"/>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100,000</w:t>
            </w:r>
          </w:p>
        </w:tc>
        <w:tc>
          <w:tcPr>
            <w:tcW w:type="dxa" w:w="696"/>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100</w:t>
            </w:r>
          </w:p>
        </w:tc>
        <w:tc>
          <w:tcPr>
            <w:tcW w:type="dxa" w:w="869"/>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spread</w:t>
            </w:r>
          </w:p>
        </w:tc>
      </w:tr>
      <w:tr>
        <w:trPr>
          <w:cantSplit/>
        </w:trPr>
        <w:tc>
          <w:tcPr>
            <w:tcW w:type="dxa" w:w="1159"/>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left"/>
            </w:pPr>
            <w:r>
              <w:rPr>
                <w:rFonts w:ascii="Times New Roman" w:hAnsi="Times New Roman" w:eastAsia="Times New Roman" w:cs="Times New Roman"/>
                <w:color w:val="000000"/>
                <w:sz w:val="18"/>
              </w:rPr>
              <w:t>Large hot</w:t>
            </w:r>
          </w:p>
        </w:tc>
        <w:tc>
          <w:tcPr>
            <w:tcW w:type="dxa" w:w="725"/>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100,000</w:t>
            </w:r>
          </w:p>
        </w:tc>
        <w:tc>
          <w:tcPr>
            <w:tcW w:type="dxa" w:w="696"/>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10</w:t>
            </w:r>
          </w:p>
        </w:tc>
        <w:tc>
          <w:tcPr>
            <w:tcW w:type="dxa" w:w="821"/>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100</w:t>
            </w:r>
          </w:p>
        </w:tc>
        <w:tc>
          <w:tcPr>
            <w:tcW w:type="dxa" w:w="869"/>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hot</w:t>
            </w:r>
          </w:p>
        </w:tc>
      </w:tr>
    </w:tbl>
    <w:p>
      <w:pPr>
        <w:pStyle w:val="Caption"/>
        <w:keepNext w:val="0"/>
        <w:widowControl/>
      </w:pPr>
      <w:r>
        <w:rPr>
          <w:rFonts w:ascii="Times New Roman" w:hAnsi="Times New Roman" w:eastAsia="Times New Roman" w:cs="Times New Roman"/>
          <w:color w:val="000000"/>
        </w:rPr>
        <w:t>Table 2: Final evaluation workload matrix.</w:t>
      </w:r>
    </w:p>
    <w:p>
      <w:pPr>
        <w:pStyle w:val="Heading2"/>
        <w:keepNext/>
        <w:widowControl/>
      </w:pPr>
      <w:r>
        <w:rPr>
          <w:rFonts w:ascii="Times New Roman" w:hAnsi="Times New Roman" w:eastAsia="Times New Roman" w:cs="Times New Roman"/>
          <w:color w:val="000000"/>
        </w:rPr>
        <w:t>4.2  Measurement Contract</w:t>
      </w:r>
    </w:p>
    <w:p>
      <w:pPr>
        <w:widowControl/>
        <w:spacing w:after="0" w:line="272" w:lineRule="exact"/>
        <w:ind w:firstLine="0"/>
        <w:jc w:val="both"/>
      </w:pPr>
      <w:r>
        <w:rPr>
          <w:rFonts w:ascii="Times New Roman" w:hAnsi="Times New Roman" w:eastAsia="Times New Roman" w:cs="Times New Roman"/>
          <w:color w:val="000000"/>
        </w:rPr>
        <w:t>Initial import measures creation of the first durable state; incremental commit is the within-trial median across ten durable commits; diff consumes the complete initial-to-final comparison; checkout fully materializes the target version; storage is the sum of regular repository-file bytes. Correctness requires exact initial and final states plus a changed-key oracle. Work examined uses each system's natural unit and is not normalized across keys, operations, and trie-node pairs.</w:t>
      </w:r>
    </w:p>
    <w:p>
      <w:pPr>
        <w:pStyle w:val="Heading2"/>
        <w:keepNext/>
        <w:widowControl/>
      </w:pPr>
      <w:r>
        <w:rPr>
          <w:rFonts w:ascii="Times New Roman" w:hAnsi="Times New Roman" w:eastAsia="Times New Roman" w:cs="Times New Roman"/>
          <w:color w:val="000000"/>
        </w:rPr>
        <w:t>4.3  Repetition, Calibration, and Integrity</w:t>
      </w:r>
    </w:p>
    <w:p>
      <w:pPr>
        <w:widowControl/>
        <w:spacing w:after="0" w:line="272" w:lineRule="exact"/>
        <w:ind w:firstLine="0"/>
        <w:jc w:val="both"/>
      </w:pPr>
      <w:r>
        <w:rPr>
          <w:rFonts w:ascii="Times New Roman" w:hAnsi="Times New Roman" w:eastAsia="Times New Roman" w:cs="Times New Roman"/>
          <w:color w:val="000000"/>
        </w:rPr>
        <w:t>Before measurement, each configuration runs twice without contributing samples. The next seven trials are recorded, using base seed 20260822. For every adapter we regenerate the workload and compare its SHA-256 digest with the manifest before execution. Calibration uses a separate workload set. Reported medians and quartiles exclude warmups. The recorded run identifier is 7048cc1674dc4038a8e42c87818b9088; it was produced on Windows-11-10.0.26200-SP0 with Python 3.14.3. A separate audit rebuilt the trial matrix from the raw CSV and recalculated every summary value.</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522476"/>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noChangeAspect="1"/>
            </wp:cNvGraphicFramePr>
            <a:graphic>
              <a:graphicData uri="http://schemas.openxmlformats.org/drawingml/2006/picture">
                <pic:pic>
                  <pic:nvPicPr>
                    <pic:cNvPr id="0" name="calibration.png"/>
                    <pic:cNvPicPr/>
                  </pic:nvPicPr>
                  <pic:blipFill>
                    <a:blip r:embed="rId13"/>
                    <a:stretch>
                      <a:fillRect/>
                    </a:stretch>
                  </pic:blipFill>
                  <pic:spPr>
                    <a:xfrm>
                      <a:off x="0" y="0"/>
                      <a:ext cx="2706624" cy="1522476"/>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3: Independent threshold calibration; 4,096 is the largest sampled log-favorable point.</w:t>
      </w:r>
    </w:p>
    <w:p>
      <w:pPr>
        <w:widowControl/>
        <w:spacing w:after="0" w:line="272" w:lineRule="exact"/>
        <w:ind w:firstLine="216"/>
        <w:jc w:val="both"/>
      </w:pPr>
      <w:r>
        <w:rPr>
          <w:rFonts w:ascii="Times New Roman" w:hAnsi="Times New Roman" w:eastAsia="Times New Roman" w:cs="Times New Roman"/>
          <w:color w:val="000000"/>
        </w:rPr>
        <w:t>The boundary is a frozen policy for this machine, not proof that the true crossover is exactly 4,096. All 333 paper-profile rows completed with status ok and correctness true. The audit retained all 83 Tukey outlier candidates; no observation was manually deleted.</w:t>
      </w:r>
    </w:p>
    <w:p>
      <w:pPr>
        <w:pStyle w:val="Heading1"/>
        <w:keepNext/>
        <w:widowControl/>
      </w:pPr>
      <w:r>
        <w:rPr>
          <w:rFonts w:ascii="Times New Roman" w:hAnsi="Times New Roman" w:eastAsia="Times New Roman" w:cs="Times New Roman"/>
          <w:color w:val="000000"/>
        </w:rPr>
        <w:t>5  Results</w:t>
      </w:r>
    </w:p>
    <w:p>
      <w:pPr>
        <w:pStyle w:val="Heading2"/>
        <w:keepNext/>
        <w:widowControl/>
      </w:pPr>
      <w:r>
        <w:rPr>
          <w:rFonts w:ascii="Times New Roman" w:hAnsi="Times New Roman" w:eastAsia="Times New Roman" w:cs="Times New Roman"/>
          <w:color w:val="000000"/>
        </w:rPr>
        <w:t>5.1  Final Diff Performance</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578608" cy="1465735"/>
            <wp:docPr id="4" name="Picture 4" descr="Log-scale grouped bar chart of final median diff latency with interquartile whiskers for Snapshot, Log-only, Chronos-M, Chronos-H, and Dolt across five workloads." title="Log-scale grouped bar chart of final median diff latency with interquartile whiskers for Snapshot, Log-only, Chronos-M, Chronos-H, and Dolt across five workloads"/>
            <wp:cNvGraphicFramePr>
              <a:graphicFrameLocks noChangeAspect="1"/>
            </wp:cNvGraphicFramePr>
            <a:graphic>
              <a:graphicData uri="http://schemas.openxmlformats.org/drawingml/2006/picture">
                <pic:pic>
                  <pic:nvPicPr>
                    <pic:cNvPr id="0" name="diff_results.png"/>
                    <pic:cNvPicPr/>
                  </pic:nvPicPr>
                  <pic:blipFill>
                    <a:blip r:embed="rId14"/>
                    <a:stretch>
                      <a:fillRect/>
                    </a:stretch>
                  </pic:blipFill>
                  <pic:spPr>
                    <a:xfrm>
                      <a:off x="0" y="0"/>
                      <a:ext cx="2578608" cy="1465735"/>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4: Final diff latency from the audited CSV bundle; lower is better.</w:t>
      </w:r>
    </w:p>
    <w:tbl>
      <w:tblPr>
        <w:tblW w:type="dxa" w:w="4270"/>
        <w:jc w:val="left"/>
        <w:tblLayout w:type="fixed"/>
        <w:tblLook w:firstColumn="1" w:firstRow="1" w:lastColumn="0" w:lastRow="0" w:noHBand="0" w:noVBand="1" w:val="04A0"/>
        <w:tblInd w:type="dxa" w:w="25"/>
      </w:tblPr>
      <w:tblGrid>
        <w:gridCol w:w="1271"/>
        <w:gridCol w:w="712"/>
        <w:gridCol w:w="732"/>
        <w:gridCol w:w="864"/>
        <w:gridCol w:w="691"/>
      </w:tblGrid>
      <w:tr>
        <w:trPr>
          <w:cantSplit/>
          <w:tblHeader w:val="true"/>
        </w:trPr>
        <w:tc>
          <w:tcPr>
            <w:tcW w:type="dxa" w:w="1271"/>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left"/>
            </w:pPr>
            <w:r>
              <w:rPr>
                <w:rFonts w:ascii="Times New Roman" w:hAnsi="Times New Roman" w:eastAsia="Times New Roman" w:cs="Times New Roman"/>
                <w:b/>
                <w:color w:val="000000"/>
                <w:sz w:val="18"/>
              </w:rPr>
              <w:t>Scenario</w:t>
            </w:r>
          </w:p>
        </w:tc>
        <w:tc>
          <w:tcPr>
            <w:tcW w:type="dxa" w:w="712"/>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Path</w:t>
            </w:r>
          </w:p>
        </w:tc>
        <w:tc>
          <w:tcPr>
            <w:tcW w:type="dxa" w:w="732"/>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H ms</w:t>
            </w:r>
          </w:p>
        </w:tc>
        <w:tc>
          <w:tcPr>
            <w:tcW w:type="dxa" w:w="864"/>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Dolt ms</w:t>
            </w:r>
          </w:p>
        </w:tc>
        <w:tc>
          <w:tcPr>
            <w:tcW w:type="dxa" w:w="691"/>
            <w:shd w:fill="FFFFFF"/>
            <w:tcBorders>
              <w:top w:val="single" w:sz="6" w:color="000000"/>
              <w:left w:val="nil" w:sz="6" w:color="000000"/>
              <w:bottom w:val="single" w:sz="6" w:color="000000"/>
              <w:right w:val="nil" w:sz="6" w:color="000000"/>
              <w:insideH w:val="nil" w:sz="6" w:color="000000"/>
              <w:insideV w:val="nil" w:sz="6" w:color="000000"/>
            </w:tcBorders>
            <w:tcMar>
              <w:top w:w="20" w:type="dxa"/>
              <w:start w:w="25" w:type="dxa"/>
              <w:bottom w:w="20" w:type="dxa"/>
              <w:end w:w="25" w:type="dxa"/>
            </w:tcMar>
            <w:vAlign w:val="center"/>
          </w:tcPr>
          <w:p>
            <w:pPr>
              <w:spacing w:after="0"/>
              <w:ind w:firstLine="0"/>
              <w:jc w:val="center"/>
            </w:pPr>
            <w:r>
              <w:rPr>
                <w:rFonts w:ascii="Times New Roman" w:hAnsi="Times New Roman" w:eastAsia="Times New Roman" w:cs="Times New Roman"/>
                <w:b/>
                <w:color w:val="000000"/>
                <w:sz w:val="18"/>
              </w:rPr>
              <w:t>Ratio</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Small sparse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0.417</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188.91</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453.3x</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sparse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0.553</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306.47</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554.2x</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Medium dense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merkle</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56.496</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326.01</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5.8x</w:t>
            </w:r>
          </w:p>
        </w:tc>
      </w:tr>
      <w:tr>
        <w:trPr>
          <w:cantSplit/>
        </w:trPr>
        <w:tc>
          <w:tcPr>
            <w:tcW w:type="dxa" w:w="127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left"/>
            </w:pPr>
            <w:r>
              <w:rPr>
                <w:rFonts w:ascii="Times New Roman" w:hAnsi="Times New Roman" w:eastAsia="Times New Roman" w:cs="Times New Roman"/>
                <w:color w:val="000000"/>
                <w:sz w:val="18"/>
              </w:rPr>
              <w:t>Large sparse</w:t>
            </w:r>
          </w:p>
        </w:tc>
        <w:tc>
          <w:tcPr>
            <w:tcW w:type="dxa" w:w="71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3.082</w:t>
            </w:r>
          </w:p>
        </w:tc>
        <w:tc>
          <w:tcPr>
            <w:tcW w:type="dxa" w:w="864"/>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180.77</w:t>
            </w:r>
          </w:p>
        </w:tc>
        <w:tc>
          <w:tcPr>
            <w:tcW w:type="dxa" w:w="691"/>
            <w:tcBorders>
              <w:top w:val="nil" w:sz="4" w:color="000000"/>
              <w:left w:val="nil" w:sz="4" w:color="000000"/>
              <w:bottom w:val="nil" w:sz="4" w:color="000000"/>
              <w:right w:val="nil" w:sz="4" w:color="000000"/>
              <w:insideH w:val="nil" w:sz="4" w:color="000000"/>
              <w:insideV w:val="nil" w:sz="4" w:color="000000"/>
            </w:tcBorders>
            <w:tcMar>
              <w:top w:w="16" w:type="dxa"/>
              <w:start w:w="25" w:type="dxa"/>
              <w:bottom w:w="16" w:type="dxa"/>
              <w:end w:w="25" w:type="dxa"/>
            </w:tcMar>
            <w:vAlign w:val="center"/>
          </w:tcPr>
          <w:p>
            <w:pPr>
              <w:spacing w:after="0" w:line="200" w:lineRule="exact"/>
              <w:ind w:firstLine="0"/>
              <w:jc w:val="center"/>
            </w:pPr>
            <w:r>
              <w:rPr>
                <w:rFonts w:ascii="Times New Roman" w:hAnsi="Times New Roman" w:eastAsia="Times New Roman" w:cs="Times New Roman"/>
                <w:color w:val="000000"/>
                <w:sz w:val="18"/>
              </w:rPr>
              <w:t>58.7x</w:t>
            </w:r>
          </w:p>
        </w:tc>
      </w:tr>
      <w:tr>
        <w:trPr>
          <w:cantSplit/>
        </w:trPr>
        <w:tc>
          <w:tcPr>
            <w:tcW w:type="dxa" w:w="1271"/>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left"/>
            </w:pPr>
            <w:r>
              <w:rPr>
                <w:rFonts w:ascii="Times New Roman" w:hAnsi="Times New Roman" w:eastAsia="Times New Roman" w:cs="Times New Roman"/>
                <w:color w:val="000000"/>
                <w:sz w:val="18"/>
              </w:rPr>
              <w:t>Large hot</w:t>
            </w:r>
          </w:p>
        </w:tc>
        <w:tc>
          <w:tcPr>
            <w:tcW w:type="dxa" w:w="712"/>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log</w:t>
            </w:r>
          </w:p>
        </w:tc>
        <w:tc>
          <w:tcPr>
            <w:tcW w:type="dxa" w:w="732"/>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2.031</w:t>
            </w:r>
          </w:p>
        </w:tc>
        <w:tc>
          <w:tcPr>
            <w:tcW w:type="dxa" w:w="864"/>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182.41</w:t>
            </w:r>
          </w:p>
        </w:tc>
        <w:tc>
          <w:tcPr>
            <w:tcW w:type="dxa" w:w="691"/>
            <w:tcBorders>
              <w:top w:val="nil" w:sz="6" w:color="000000"/>
              <w:left w:val="nil" w:sz="6" w:color="000000"/>
              <w:bottom w:val="single" w:sz="6" w:color="000000"/>
              <w:right w:val="nil" w:sz="6" w:color="000000"/>
              <w:insideH w:val="nil" w:sz="6" w:color="000000"/>
              <w:insideV w:val="nil" w:sz="6" w:color="000000"/>
            </w:tcBorders>
            <w:tcMar>
              <w:top w:w="16" w:type="dxa"/>
              <w:start w:w="25" w:type="dxa"/>
              <w:bottom w:w="16" w:type="dxa"/>
              <w:end w:w="25" w:type="dxa"/>
            </w:tcMar>
            <w:vAlign w:val="center"/>
          </w:tcPr>
          <w:p>
            <w:pPr>
              <w:keepNext/>
              <w:spacing w:after="0" w:line="200" w:lineRule="exact"/>
              <w:ind w:firstLine="0"/>
              <w:jc w:val="center"/>
            </w:pPr>
            <w:r>
              <w:rPr>
                <w:rFonts w:ascii="Times New Roman" w:hAnsi="Times New Roman" w:eastAsia="Times New Roman" w:cs="Times New Roman"/>
                <w:color w:val="000000"/>
                <w:sz w:val="18"/>
              </w:rPr>
              <w:t>89.8x</w:t>
            </w:r>
          </w:p>
        </w:tc>
      </w:tr>
    </w:tbl>
    <w:p>
      <w:pPr>
        <w:pStyle w:val="Caption"/>
        <w:keepNext w:val="0"/>
        <w:widowControl/>
      </w:pPr>
      <w:r>
        <w:rPr>
          <w:rFonts w:ascii="Times New Roman" w:hAnsi="Times New Roman" w:eastAsia="Times New Roman" w:cs="Times New Roman"/>
          <w:color w:val="000000"/>
        </w:rPr>
        <w:t>Table 3: Chronos-H versus Dolt median diff latency.</w:t>
      </w:r>
    </w:p>
    <w:p>
      <w:pPr>
        <w:widowControl/>
        <w:spacing w:after="0" w:line="272" w:lineRule="exact"/>
        <w:ind w:firstLine="216"/>
        <w:jc w:val="both"/>
      </w:pPr>
      <w:r>
        <w:rPr>
          <w:rFonts w:ascii="Times New Roman" w:hAnsi="Times New Roman" w:eastAsia="Times New Roman" w:cs="Times New Roman"/>
          <w:color w:val="000000"/>
        </w:rPr>
        <w:t>Chronos-H selected log for the four sparse or hot workloads and Merkle for the 10,000-operation medium-dense workload. Relative to Dolt, its median diff was 5.8x lower in medium-dense and 58.7x to 554.2x lower in the other workloads. These ratios include repeated Dolt CLI and SQL invocation costs and therefore describe the evaluated system protocol, not isolated Prolly Tree algorithm speed.</w:t>
      </w:r>
    </w:p>
    <w:p>
      <w:pPr>
        <w:pStyle w:val="Heading2"/>
        <w:keepNext/>
        <w:widowControl/>
      </w:pPr>
      <w:r>
        <w:rPr>
          <w:rFonts w:ascii="Times New Roman" w:hAnsi="Times New Roman" w:eastAsia="Times New Roman" w:cs="Times New Roman"/>
          <w:color w:val="000000"/>
        </w:rPr>
        <w:t>5.2  Hybrid Ablation</w:t>
      </w:r>
    </w:p>
    <w:p>
      <w:pPr>
        <w:widowControl/>
        <w:spacing w:after="0" w:line="272" w:lineRule="exact"/>
        <w:ind w:firstLine="0"/>
        <w:jc w:val="both"/>
      </w:pPr>
      <w:r>
        <w:rPr>
          <w:rFonts w:ascii="Times New Roman" w:hAnsi="Times New Roman" w:eastAsia="Times New Roman" w:cs="Times New Roman"/>
          <w:color w:val="000000"/>
        </w:rPr>
        <w:t>For log-selected workloads, Chronos-H reduced median diff latency relative to forced-Merkle Chronos-M by 6.0x (small sparse), 8.7x (medium sparse), 8.8x (large sparse), and 10.0x (large hot). In medium-dense, both used Merkle and Chronos-H was within 7.3% of the forced variant. This supports the selector's intended mechanism without claiming that its threshold is hardware-independent.</w:t>
      </w:r>
    </w:p>
    <w:p>
      <w:pPr>
        <w:pStyle w:val="Heading2"/>
        <w:keepNext/>
        <w:widowControl/>
      </w:pPr>
      <w:r>
        <w:rPr>
          <w:rFonts w:ascii="Times New Roman" w:hAnsi="Times New Roman" w:eastAsia="Times New Roman" w:cs="Times New Roman"/>
          <w:color w:val="000000"/>
        </w:rPr>
        <w:t>5.3  Commit, Checkout, and Storage</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396048"/>
            <wp:docPr id="5" name="Picture 5" descr="Two-panel log-scale chart comparing Chronos-H and Dolt median incremental commit and historical checkout latency with interquartile whiskers." title="Two-panel log-scale chart comparing Chronos-H and Dolt median incremental commit and historical checkout latency with interquartile whiskers"/>
            <wp:cNvGraphicFramePr>
              <a:graphicFrameLocks noChangeAspect="1"/>
            </wp:cNvGraphicFramePr>
            <a:graphic>
              <a:graphicData uri="http://schemas.openxmlformats.org/drawingml/2006/picture">
                <pic:pic>
                  <pic:nvPicPr>
                    <pic:cNvPr id="0" name="operational_results.png"/>
                    <pic:cNvPicPr/>
                  </pic:nvPicPr>
                  <pic:blipFill>
                    <a:blip r:embed="rId15"/>
                    <a:stretch>
                      <a:fillRect/>
                    </a:stretch>
                  </pic:blipFill>
                  <pic:spPr>
                    <a:xfrm>
                      <a:off x="0" y="0"/>
                      <a:ext cx="2706624" cy="1396048"/>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5: Chronos-H and Dolt operational latency; lower is better.</w:t>
      </w:r>
    </w:p>
    <w:p>
      <w:pPr>
        <w:widowControl/>
        <w:spacing w:after="0" w:line="272" w:lineRule="exact"/>
        <w:ind w:firstLine="216"/>
        <w:jc w:val="both"/>
      </w:pPr>
      <w:r>
        <w:rPr>
          <w:rFonts w:ascii="Times New Roman" w:hAnsi="Times New Roman" w:eastAsia="Times New Roman" w:cs="Times New Roman"/>
          <w:color w:val="000000"/>
        </w:rPr>
        <w:t>Chronos-H incremental commit medians were 2.3x to 37.4x lower than Dolt, and checkout medians were 35.8x to 123.4x lower. Initial import was mixed: Chronos-H was 4.9x faster for small sparse and 1.14x faster for medium sparse, approximately tied for medium dense, and 2.73x to 2.79x slower at 100,000 rows. The latency advantage is therefore not uniform.</w:t>
      </w:r>
    </w:p>
    <w:p>
      <w:pPr>
        <w:widowControl/>
        <w:spacing w:after="0" w:line="272" w:lineRule="exact"/>
        <w:ind w:firstLine="216"/>
        <w:jc w:val="both"/>
      </w:pPr>
      <w:r>
        <w:rPr>
          <w:rFonts w:ascii="Times New Roman" w:hAnsi="Times New Roman" w:eastAsia="Times New Roman" w:cs="Times New Roman"/>
          <w:color w:val="000000"/>
        </w:rPr>
        <w:t>Chronos-H paid a consistent storage cost. Its median repository footprint was 1.83x, 3.16x, 2.19x, 4.10x, and 6.43x Dolt's for small sparse through large hot, respectively. The 100,000-row Chronos repositories occupied about 34.4 MiB. This reflects inline values, JSON object encoding, and the absence of compact chunk packing and garbage collection.</w:t>
      </w:r>
    </w:p>
    <w:p>
      <w:pPr>
        <w:pStyle w:val="Heading2"/>
        <w:keepNext/>
        <w:widowControl/>
      </w:pPr>
      <w:r>
        <w:rPr>
          <w:rFonts w:ascii="Times New Roman" w:hAnsi="Times New Roman" w:eastAsia="Times New Roman" w:cs="Times New Roman"/>
          <w:color w:val="000000"/>
        </w:rPr>
        <w:t>5.4  Trie-Parameter Sensitivity</w:t>
      </w:r>
    </w:p>
    <w:p>
      <w:pPr>
        <w:keepNext/>
        <w:widowControl/>
        <w:spacing w:before="40" w:after="0" w:line="240" w:lineRule="auto"/>
        <w:ind w:firstLine="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2706624" cy="1522476"/>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noChangeAspect="1"/>
            </wp:cNvGraphicFramePr>
            <a:graphic>
              <a:graphicData uri="http://schemas.openxmlformats.org/drawingml/2006/picture">
                <pic:pic>
                  <pic:nvPicPr>
                    <pic:cNvPr id="0" name="sensitivity.png"/>
                    <pic:cNvPicPr/>
                  </pic:nvPicPr>
                  <pic:blipFill>
                    <a:blip r:embed="rId16"/>
                    <a:stretch>
                      <a:fillRect/>
                    </a:stretch>
                  </pic:blipFill>
                  <pic:spPr>
                    <a:xfrm>
                      <a:off x="0" y="0"/>
                      <a:ext cx="2706624" cy="1522476"/>
                    </a:xfrm>
                    <a:prstGeom prst="rect"/>
                  </pic:spPr>
                </pic:pic>
              </a:graphicData>
            </a:graphic>
          </wp:inline>
        </w:drawing>
      </w:r>
    </w:p>
    <w:p>
      <w:pPr>
        <w:pStyle w:val="Caption"/>
        <w:keepNext w:val="0"/>
        <w:widowControl/>
      </w:pPr>
      <w:r>
        <w:rPr>
          <w:rFonts w:ascii="Times New Roman" w:hAnsi="Times New Roman" w:eastAsia="Times New Roman" w:cs="Times New Roman"/>
          <w:color w:val="000000"/>
        </w:rPr>
        <w:t>Figure 6: Fixed-trie sensitivity; the preferred point depends on the objective.</w:t>
      </w:r>
    </w:p>
    <w:p>
      <w:pPr>
        <w:widowControl/>
        <w:spacing w:after="0" w:line="272" w:lineRule="exact"/>
        <w:ind w:firstLine="216"/>
        <w:jc w:val="both"/>
      </w:pPr>
      <w:r>
        <w:rPr>
          <w:rFonts w:ascii="Times New Roman" w:hAnsi="Times New Roman" w:eastAsia="Times New Roman" w:cs="Times New Roman"/>
          <w:color w:val="000000"/>
        </w:rPr>
        <w:t>All 45 sensitivity trials were correct. The b8-d3 configuration delivered the lowest median diff latency (20.15 ms versus 44.43 ms for b8-d4) and compared 84.3% fewer node pairs, but consumed 61.2% more storage and examined three times as many leaf entries. The current b8-d4 default used the least storage (4.27 MiB). The over-deep b8-d5 design was slower for every timed operation and used 44.8% more storage. Thus b8-d4 is a storage-conscious balanced default, not a universal optimum.</w:t>
      </w:r>
    </w:p>
    <w:p>
      <w:pPr>
        <w:pStyle w:val="Heading1"/>
        <w:keepNext/>
        <w:widowControl/>
      </w:pPr>
      <w:r>
        <w:rPr>
          <w:rFonts w:ascii="Times New Roman" w:hAnsi="Times New Roman" w:eastAsia="Times New Roman" w:cs="Times New Roman"/>
          <w:color w:val="000000"/>
        </w:rPr>
        <w:t>6  Discussion</w:t>
      </w:r>
    </w:p>
    <w:p>
      <w:pPr>
        <w:widowControl/>
        <w:spacing w:after="0" w:line="272" w:lineRule="exact"/>
        <w:ind w:firstLine="0"/>
        <w:jc w:val="both"/>
      </w:pPr>
      <w:r>
        <w:rPr>
          <w:rFonts w:ascii="Times New Roman" w:hAnsi="Times New Roman" w:eastAsia="Times New Roman" w:cs="Times New Roman"/>
          <w:color w:val="000000"/>
        </w:rPr>
        <w:t>The results answer RQ1 with a trade-off rather than a single winner. Chronos-H offered low diff, commit, and checkout latency under the benchmark interface, but its import advantage disappeared at 100,000 rows and its repository was always larger than Dolt's. Snapshot and Log-only also remain relevant baselines: their simpler representations often reduced import or storage cost. Snapshot comparison, however, grew with the number of materialized keys.</w:t>
      </w:r>
    </w:p>
    <w:p>
      <w:pPr>
        <w:widowControl/>
        <w:spacing w:after="0" w:line="272" w:lineRule="exact"/>
        <w:ind w:firstLine="216"/>
        <w:jc w:val="both"/>
      </w:pPr>
      <w:r>
        <w:rPr>
          <w:rFonts w:ascii="Times New Roman" w:hAnsi="Times New Roman" w:eastAsia="Times New Roman" w:cs="Times New Roman"/>
          <w:color w:val="000000"/>
        </w:rPr>
        <w:t>RQ2 is supported more directly. Because Chronos-H and Chronos-M share the same durable trie, their sparse-workload diff gap isolates adaptive selection more cleanly than an absolute comparison with Dolt. The log path avoided thousands of trie comparisons when only 100 or 1,000 operations separated the endpoints; the dense case switched to Merkle.</w:t>
      </w:r>
    </w:p>
    <w:p>
      <w:pPr>
        <w:widowControl/>
        <w:spacing w:after="0" w:line="272" w:lineRule="exact"/>
        <w:ind w:firstLine="216"/>
        <w:jc w:val="both"/>
      </w:pPr>
      <w:r>
        <w:rPr>
          <w:rFonts w:ascii="Times New Roman" w:hAnsi="Times New Roman" w:eastAsia="Times New Roman" w:cs="Times New Roman"/>
          <w:color w:val="000000"/>
        </w:rPr>
        <w:t>RQ3 rejects a universal geometry. Shallow routing lowers internal traversal but creates larger leaf buckets and higher storage; deeper routing lowers occupancy but increases internal-node work. The suitable configuration therefore depends on which requirement dominates the workload: latency, storage, or worst-case leaf-bucket scanning.</w:t>
      </w:r>
    </w:p>
    <w:p>
      <w:pPr>
        <w:widowControl/>
        <w:spacing w:after="0" w:line="272" w:lineRule="exact"/>
        <w:ind w:firstLine="216"/>
        <w:jc w:val="both"/>
      </w:pPr>
      <w:r>
        <w:rPr>
          <w:rFonts w:ascii="Times New Roman" w:hAnsi="Times New Roman" w:eastAsia="Times New Roman" w:cs="Times New Roman"/>
          <w:color w:val="000000"/>
        </w:rPr>
        <w:t>The Dolt ratios need a system-level interpretation. Dolt performs SQL parsing, schema management, version-control operations, and production durability work that the Chronos prototype does not. Dolt's Prolly Trees also serve ordered queries, branches, merges, and remote workflows. Our timings compare the declared interfaces used in the experiment. They do not isolate the tree algorithms and therefore cannot show that a fixed trie is inherently faster than a Prolly Tree.</w:t>
      </w:r>
    </w:p>
    <w:p>
      <w:pPr>
        <w:pStyle w:val="Heading1"/>
        <w:keepNext/>
        <w:widowControl/>
      </w:pPr>
      <w:r>
        <w:rPr>
          <w:rFonts w:ascii="Times New Roman" w:hAnsi="Times New Roman" w:eastAsia="Times New Roman" w:cs="Times New Roman"/>
          <w:color w:val="000000"/>
        </w:rPr>
        <w:t>7  Limitations and Threats to Validity</w:t>
      </w:r>
    </w:p>
    <w:p>
      <w:pPr>
        <w:pStyle w:val="ListBullet"/>
        <w:widowControl/>
      </w:pPr>
      <w:r>
        <w:rPr>
          <w:rFonts w:ascii="Times New Roman" w:hAnsi="Times New Roman" w:eastAsia="Times New Roman" w:cs="Times New Roman"/>
          <w:color w:val="000000"/>
        </w:rPr>
        <w:t>Runtime and interface asymmetry: Chronos executes in-process in Python, whereas Dolt is a mature Go executable invoked repeatedly through CLI and SQL interfaces.</w:t>
      </w:r>
    </w:p>
    <w:p>
      <w:pPr>
        <w:pStyle w:val="ListBullet"/>
        <w:widowControl/>
      </w:pPr>
      <w:r>
        <w:rPr>
          <w:rFonts w:ascii="Times New Roman" w:hAnsi="Times New Roman" w:eastAsia="Times New Roman" w:cs="Times New Roman"/>
          <w:color w:val="000000"/>
        </w:rPr>
        <w:t>Feature asymmetry: Chronos supports one writer and a linear history, but not SQL, branches, merges, remotes, schema evolution, or production concurrency.</w:t>
      </w:r>
    </w:p>
    <w:p>
      <w:pPr>
        <w:pStyle w:val="ListBullet"/>
        <w:widowControl/>
      </w:pPr>
      <w:r>
        <w:rPr>
          <w:rFonts w:ascii="Times New Roman" w:hAnsi="Times New Roman" w:eastAsia="Times New Roman" w:cs="Times New Roman"/>
          <w:color w:val="000000"/>
        </w:rPr>
        <w:t>Synthetic scope: the deterministic key/value workloads reach 100,000 rows, but cannot represent every real schema, key skew, payload size, or history length.</w:t>
      </w:r>
    </w:p>
    <w:p>
      <w:pPr>
        <w:pStyle w:val="ListBullet"/>
        <w:widowControl/>
      </w:pPr>
      <w:r>
        <w:rPr>
          <w:rFonts w:ascii="Times New Roman" w:hAnsi="Times New Roman" w:eastAsia="Times New Roman" w:cs="Times New Roman"/>
          <w:color w:val="000000"/>
        </w:rPr>
        <w:t>Single environment: all results were obtained on one Windows 11 machine, where cache state, scheduling, filesystem behavior, and antivirus activity can affect short measurements.</w:t>
      </w:r>
    </w:p>
    <w:p>
      <w:pPr>
        <w:pStyle w:val="ListBullet"/>
        <w:widowControl/>
      </w:pPr>
      <w:r>
        <w:rPr>
          <w:rFonts w:ascii="Times New Roman" w:hAnsi="Times New Roman" w:eastAsia="Times New Roman" w:cs="Times New Roman"/>
          <w:color w:val="000000"/>
        </w:rPr>
        <w:t>Calibration boundary: 4,096 is the largest sampled operation count that favored the log; this does not establish a universal crossover.</w:t>
      </w:r>
    </w:p>
    <w:p>
      <w:pPr>
        <w:pStyle w:val="ListBullet"/>
        <w:widowControl/>
      </w:pPr>
      <w:r>
        <w:rPr>
          <w:rFonts w:ascii="Times New Roman" w:hAnsi="Times New Roman" w:eastAsia="Times New Roman" w:cs="Times New Roman"/>
          <w:color w:val="000000"/>
        </w:rPr>
        <w:t>Memory comparability: Python tracemalloc and Dolt process-memory readings are not equivalent, so no cross-system memory graph is reported.</w:t>
      </w:r>
    </w:p>
    <w:p>
      <w:pPr>
        <w:pStyle w:val="ListBullet"/>
        <w:widowControl/>
      </w:pPr>
      <w:r>
        <w:rPr>
          <w:rFonts w:ascii="Times New Roman" w:hAnsi="Times New Roman" w:eastAsia="Times New Roman" w:cs="Times New Roman"/>
          <w:color w:val="000000"/>
        </w:rPr>
        <w:t>Work-unit mismatch: keys, log operations, trie-node pairs, and Dolt's internal work do not form a single normalized measure.</w:t>
      </w:r>
    </w:p>
    <w:p>
      <w:pPr>
        <w:pStyle w:val="ListBullet"/>
        <w:widowControl/>
      </w:pPr>
      <w:r>
        <w:rPr>
          <w:rFonts w:ascii="Times New Roman" w:hAnsi="Times New Roman" w:eastAsia="Times New Roman" w:cs="Times New Roman"/>
          <w:color w:val="000000"/>
        </w:rPr>
        <w:t>Outlier policy: all 83 Tukey candidates were kept. Medians and interquartile ranges limit their influence, but seven measured trials do not demonstrate normality.</w:t>
      </w:r>
    </w:p>
    <w:p>
      <w:pPr>
        <w:pStyle w:val="Heading1"/>
        <w:keepNext/>
        <w:widowControl/>
      </w:pPr>
      <w:r>
        <w:rPr>
          <w:rFonts w:ascii="Times New Roman" w:hAnsi="Times New Roman" w:eastAsia="Times New Roman" w:cs="Times New Roman"/>
          <w:color w:val="000000"/>
        </w:rPr>
        <w:t>8  Future Work</w:t>
      </w:r>
    </w:p>
    <w:p>
      <w:pPr>
        <w:widowControl/>
        <w:spacing w:after="0" w:line="272" w:lineRule="exact"/>
        <w:ind w:firstLine="0"/>
        <w:jc w:val="both"/>
      </w:pPr>
      <w:r>
        <w:rPr>
          <w:rFonts w:ascii="Times New Roman" w:hAnsi="Times New Roman" w:eastAsia="Times New Roman" w:cs="Times New Roman"/>
          <w:color w:val="000000"/>
        </w:rPr>
        <w:t>A next version should choose its structure from observed workload statistics. Key count, prefix skew, mutation density, and leaf occupancy could guide the choice among measured trie geometries instead of fixing b and d for every repository. The diff selector could recalibrate periodically and consider history distance, changed-prefix density, and observed I/O cost alongside its present operation-count rule.</w:t>
      </w:r>
    </w:p>
    <w:p>
      <w:pPr>
        <w:widowControl/>
        <w:spacing w:after="0" w:line="272" w:lineRule="exact"/>
        <w:ind w:firstLine="216"/>
        <w:jc w:val="both"/>
      </w:pPr>
      <w:r>
        <w:rPr>
          <w:rFonts w:ascii="Times New Roman" w:hAnsi="Times New Roman" w:eastAsia="Times New Roman" w:cs="Times New Roman"/>
          <w:color w:val="000000"/>
        </w:rPr>
        <w:t>Storage efficiency could be improved with binary node records, separate value chunks, packed objects, compression, reachability checks, and garbage collection. An ordered Merkle index or content-defined chunk boundaries could add range scans and a history-independent layout while leaving the fixed trie as the controlled baseline.</w:t>
      </w:r>
    </w:p>
    <w:p>
      <w:pPr>
        <w:widowControl/>
        <w:spacing w:after="0" w:line="272" w:lineRule="exact"/>
        <w:ind w:firstLine="216"/>
        <w:jc w:val="both"/>
      </w:pPr>
      <w:r>
        <w:rPr>
          <w:rFonts w:ascii="Times New Roman" w:hAnsi="Times New Roman" w:eastAsia="Times New Roman" w:cs="Times New Roman"/>
          <w:color w:val="000000"/>
        </w:rPr>
        <w:t>To move beyond a linear prototype, Chronos still needs named branches, merge commits, conflict reporting, schema-aware records, concurrent readers and writers, and remote synchronization. Evaluation should add public structured datasets, one-million-row and longer-history workloads, Linux replication, and unified external process telemetry for time, CPU, I/O, and peak resident memory.</w:t>
      </w:r>
    </w:p>
    <w:p>
      <w:pPr>
        <w:widowControl/>
        <w:spacing w:after="0"/>
      </w:pPr>
      <w:r>
        <w:rPr>
          <w:rFonts w:ascii="Times New Roman" w:hAnsi="Times New Roman" w:eastAsia="Times New Roman" w:cs="Times New Roman"/>
          <w:color w:val="000000"/>
        </w:rPr>
        <w:br w:type="page"/>
      </w:r>
    </w:p>
    <w:p>
      <w:pPr>
        <w:pStyle w:val="Heading1"/>
        <w:keepNext/>
        <w:widowControl/>
      </w:pPr>
      <w:r>
        <w:rPr>
          <w:rFonts w:ascii="Times New Roman" w:hAnsi="Times New Roman" w:eastAsia="Times New Roman" w:cs="Times New Roman"/>
          <w:color w:val="000000"/>
        </w:rPr>
        <w:t>9  Conclusion</w:t>
      </w:r>
    </w:p>
    <w:p>
      <w:pPr>
        <w:widowControl/>
        <w:spacing w:after="0" w:line="272" w:lineRule="exact"/>
        <w:ind w:firstLine="0"/>
        <w:jc w:val="both"/>
      </w:pPr>
      <w:r>
        <w:rPr>
          <w:rFonts w:ascii="Times New Roman" w:hAnsi="Times New Roman" w:eastAsia="Times New Roman" w:cs="Times New Roman"/>
          <w:color w:val="000000"/>
        </w:rPr>
        <w:t>Chronos demonstrates a complete content-addressed versioning path for structured key/value data: canonical immutable objects, incremental copy-on-write Merkle trie updates, atomic SQLite persistence, historical checkout, and adaptive differencing. The audited 333-trial comparison shows that Chronos-H can substantially reduce CLI-facing diff, commit, and checkout latency relative to Dolt 2.3.1, but it also exposes slower large imports, higher storage consumption, a narrower feature set, and runtime/interface asymmetry. The ablation supports hybrid log/Merkle selection, while the sensitivity experiment shows that trie geometry must be chosen by workload objective. The defensible contribution is therefore an instrumentable hybrid design and reproducible evidence of its trade-offs, not a claim of universal replacement for a production version-controlled SQL database.</w:t>
      </w:r>
    </w:p>
    <w:p>
      <w:pPr>
        <w:pStyle w:val="Heading1"/>
        <w:keepNext/>
        <w:widowControl/>
      </w:pPr>
      <w:r>
        <w:rPr>
          <w:rFonts w:ascii="Times New Roman" w:hAnsi="Times New Roman" w:eastAsia="Times New Roman" w:cs="Times New Roman"/>
          <w:color w:val="000000"/>
        </w:rPr>
        <w:t>Acknowledgment</w:t>
      </w:r>
    </w:p>
    <w:p>
      <w:pPr>
        <w:widowControl/>
        <w:spacing w:after="0" w:line="272" w:lineRule="exact"/>
        <w:ind w:firstLine="0"/>
        <w:jc w:val="both"/>
      </w:pPr>
      <w:r>
        <w:rPr>
          <w:rFonts w:ascii="Times New Roman" w:hAnsi="Times New Roman" w:eastAsia="Times New Roman" w:cs="Times New Roman"/>
          <w:color w:val="000000"/>
        </w:rPr>
        <w:t>The authors acknowledge the open-source Dolt project and the researchers whose dataset-versioning systems informed the experimental design.</w:t>
      </w:r>
    </w:p>
    <w:p>
      <w:pPr>
        <w:pStyle w:val="Heading1"/>
        <w:keepNext/>
        <w:widowControl/>
      </w:pPr>
      <w:r>
        <w:rPr>
          <w:rFonts w:ascii="Times New Roman" w:hAnsi="Times New Roman" w:eastAsia="Times New Roman" w:cs="Times New Roman"/>
          <w:color w:val="000000"/>
        </w:rPr>
        <w:t>References</w:t>
      </w:r>
    </w:p>
    <w:p>
      <w:bookmarkStart w:id="1" w:name="ref_delta"/>
      <w:pPr>
        <w:pStyle w:val="IEEEReference"/>
        <w:widowControl/>
      </w:pPr>
      <w:r>
        <w:rPr>
          <w:rFonts w:ascii="Times New Roman" w:hAnsi="Times New Roman" w:eastAsia="Times New Roman" w:cs="Times New Roman"/>
          <w:color w:val="000000"/>
        </w:rPr>
        <w:t>[1] Michael Armbrust et al. 2020. Delta Lake: High-Performance ACID Table Storage over Cloud Object Stores. Proceedings of the VLDB Endowment, 13(12):3411-3424. doi:10.14778/3415478.3415560.</w:t>
      </w:r>
      <w:bookmarkEnd w:id="1"/>
    </w:p>
    <w:p>
      <w:bookmarkStart w:id="2" w:name="ref_noms"/>
      <w:pPr>
        <w:pStyle w:val="IEEEReference"/>
        <w:widowControl/>
      </w:pPr>
      <w:r>
        <w:rPr>
          <w:rFonts w:ascii="Times New Roman" w:hAnsi="Times New Roman" w:eastAsia="Times New Roman" w:cs="Times New Roman"/>
          <w:color w:val="000000"/>
        </w:rPr>
        <w:t>[2] Attic Labs. n.d. Noms technical overview. GitHub. https://github.com/attic-labs/noms/blob/master/doc/intro.md.</w:t>
      </w:r>
      <w:bookmarkEnd w:id="2"/>
    </w:p>
    <w:p>
      <w:bookmarkStart w:id="3" w:name="ref_mst"/>
      <w:pPr>
        <w:pStyle w:val="IEEEReference"/>
        <w:widowControl/>
      </w:pPr>
      <w:r>
        <w:rPr>
          <w:rFonts w:ascii="Times New Roman" w:hAnsi="Times New Roman" w:eastAsia="Times New Roman" w:cs="Times New Roman"/>
          <w:color w:val="000000"/>
        </w:rPr>
        <w:t>[3] Alex Auvolat and Francois Taiani. 2019. Merkle Search Trees: Efficient State-Based CRDTs in Open Networks. 38th IEEE International Symposium on Reliable Distributed Systems, pages 1-10. doi:10.1109/SRDS47363.2019.00032.</w:t>
      </w:r>
      <w:bookmarkEnd w:id="3"/>
    </w:p>
    <w:p>
      <w:bookmarkStart w:id="4" w:name="ref_ipfs"/>
      <w:pPr>
        <w:pStyle w:val="IEEEReference"/>
        <w:widowControl/>
      </w:pPr>
      <w:r>
        <w:rPr>
          <w:rFonts w:ascii="Times New Roman" w:hAnsi="Times New Roman" w:eastAsia="Times New Roman" w:cs="Times New Roman"/>
          <w:color w:val="000000"/>
        </w:rPr>
        <w:t>[4] Juan Benet. 2014. IPFS - Content Addressed, Versioned, P2P File System. arXiv:1407.3561.</w:t>
      </w:r>
      <w:bookmarkEnd w:id="4"/>
    </w:p>
    <w:p>
      <w:bookmarkStart w:id="5" w:name="ref_datahub"/>
      <w:pPr>
        <w:pStyle w:val="IEEEReference"/>
        <w:widowControl/>
      </w:pPr>
      <w:r>
        <w:rPr>
          <w:rFonts w:ascii="Times New Roman" w:hAnsi="Times New Roman" w:eastAsia="Times New Roman" w:cs="Times New Roman"/>
          <w:color w:val="000000"/>
        </w:rPr>
        <w:t>[5] Anant Bhardwaj, Souvik Bhattacherjee, Amit Chavan, Amol Deshpande, Aaron J. Elmore, Samuel Madden, and Aditya G. Parameswaran. 2015. DataHub: Collaborative Data Science and Dataset Version Management at Scale. 7th Biennial Conference on Innovative Data Systems Research.</w:t>
      </w:r>
      <w:bookmarkEnd w:id="5"/>
    </w:p>
    <w:p>
      <w:bookmarkStart w:id="6" w:name="ref_versioning"/>
      <w:pPr>
        <w:pStyle w:val="IEEEReference"/>
        <w:widowControl/>
      </w:pPr>
      <w:r>
        <w:rPr>
          <w:rFonts w:ascii="Times New Roman" w:hAnsi="Times New Roman" w:eastAsia="Times New Roman" w:cs="Times New Roman"/>
          <w:color w:val="000000"/>
        </w:rPr>
        <w:t>[6] Souvik Bhattacherjee, Amit Chavan, Silu Huang, Amol Deshpande, and Aditya Parameswaran. 2015. Principles of Dataset Versioning: Exploring the Recreation/Storage Tradeoff. Proceedings of the VLDB Endowment, 8(12):1346-1357. doi:10.14778/2824032.2824035.</w:t>
      </w:r>
      <w:bookmarkEnd w:id="6"/>
    </w:p>
    <w:p>
      <w:bookmarkStart w:id="7" w:name="ref_git"/>
      <w:pPr>
        <w:pStyle w:val="IEEEReference"/>
        <w:widowControl/>
      </w:pPr>
      <w:r>
        <w:rPr>
          <w:rFonts w:ascii="Times New Roman" w:hAnsi="Times New Roman" w:eastAsia="Times New Roman" w:cs="Times New Roman"/>
          <w:color w:val="000000"/>
        </w:rPr>
        <w:t>[7] Scott Chacon and Ben Straub. 2014. Git Internals - Git Objects. In Pro Git, 2nd edition. https://git-scm.com/book/en/v2/Git-Internals-Git-Objects.</w:t>
      </w:r>
      <w:bookmarkEnd w:id="7"/>
    </w:p>
    <w:p>
      <w:bookmarkStart w:id="8" w:name="ref_dolt_block"/>
      <w:pPr>
        <w:pStyle w:val="IEEEReference"/>
        <w:widowControl/>
      </w:pPr>
      <w:r>
        <w:rPr>
          <w:rFonts w:ascii="Times New Roman" w:hAnsi="Times New Roman" w:eastAsia="Times New Roman" w:cs="Times New Roman"/>
          <w:color w:val="000000"/>
        </w:rPr>
        <w:t>[8] DoltHub. 2024a. Dolt Storage Engine: Block Store. Dolt Documentation. https://www.dolthub.com/docs/architecture/storage-engine/block-store/.</w:t>
      </w:r>
      <w:bookmarkEnd w:id="8"/>
    </w:p>
    <w:p>
      <w:bookmarkStart w:id="9" w:name="ref_dolt_prolly"/>
      <w:pPr>
        <w:pStyle w:val="IEEEReference"/>
        <w:widowControl/>
      </w:pPr>
      <w:r>
        <w:rPr>
          <w:rFonts w:ascii="Times New Roman" w:hAnsi="Times New Roman" w:eastAsia="Times New Roman" w:cs="Times New Roman"/>
          <w:color w:val="000000"/>
        </w:rPr>
        <w:t>[9] DoltHub. 2024b. Dolt's Storage Engine: Prolly Trees and Commit Graph. https://www.dolthub.com/blog/2024-02-29-storage-engine/.</w:t>
      </w:r>
      <w:bookmarkEnd w:id="9"/>
    </w:p>
    <w:p>
      <w:bookmarkStart w:id="10" w:name="ref_persistent"/>
      <w:pPr>
        <w:pStyle w:val="IEEEReference"/>
        <w:widowControl/>
      </w:pPr>
      <w:r>
        <w:rPr>
          <w:rFonts w:ascii="Times New Roman" w:hAnsi="Times New Roman" w:eastAsia="Times New Roman" w:cs="Times New Roman"/>
          <w:color w:val="000000"/>
        </w:rPr>
        <w:t>[10] James R. Driscoll, Neil Sarnak, Daniel D. Sleator, and Robert E. Tarjan. 1989. Making Data Structures Persistent. Journal of Computer and System Sciences, 38(1):86-124. doi:10.1016/0022-0000(89)90034-2.</w:t>
      </w:r>
      <w:bookmarkEnd w:id="10"/>
    </w:p>
    <w:p>
      <w:bookmarkStart w:id="11" w:name="ref_orpheus"/>
      <w:pPr>
        <w:pStyle w:val="IEEEReference"/>
        <w:widowControl/>
      </w:pPr>
      <w:r>
        <w:rPr>
          <w:rFonts w:ascii="Times New Roman" w:hAnsi="Times New Roman" w:eastAsia="Times New Roman" w:cs="Times New Roman"/>
          <w:color w:val="000000"/>
        </w:rPr>
        <w:t>[11] Silu Huang, Liqi Xu, Jialin Liu, Aaron J. Elmore, and Aditya G. Parameswaran. 2017. OrpheusDB: Bolt-on Versioning for Relational Databases. Proceedings of the VLDB Endowment, 10(10):1130-1141. doi:10.14778/3115404.3115417.</w:t>
      </w:r>
      <w:bookmarkEnd w:id="11"/>
    </w:p>
    <w:p>
      <w:bookmarkStart w:id="12" w:name="ref_decibel"/>
      <w:pPr>
        <w:pStyle w:val="IEEEReference"/>
        <w:widowControl/>
      </w:pPr>
      <w:r>
        <w:rPr>
          <w:rFonts w:ascii="Times New Roman" w:hAnsi="Times New Roman" w:eastAsia="Times New Roman" w:cs="Times New Roman"/>
          <w:color w:val="000000"/>
        </w:rPr>
        <w:t>[12] Michael A. Maddox et al. 2016. Decibel: The Relational Dataset Branching System. Proceedings of the VLDB Endowment, 9(9):624-635. doi:10.14778/2947618.2947619.</w:t>
      </w:r>
      <w:bookmarkEnd w:id="12"/>
    </w:p>
    <w:p>
      <w:bookmarkStart w:id="13" w:name="ref_merkle"/>
      <w:pPr>
        <w:pStyle w:val="IEEEReference"/>
        <w:widowControl/>
      </w:pPr>
      <w:r>
        <w:rPr>
          <w:rFonts w:ascii="Times New Roman" w:hAnsi="Times New Roman" w:eastAsia="Times New Roman" w:cs="Times New Roman"/>
          <w:color w:val="000000"/>
        </w:rPr>
        <w:t>[13] Ralph C. Merkle. 1988. A Digital Signature Based on a Conventional Encryption Function. In Advances in Cryptology - CRYPTO '87, LNCS 293, pages 369-378. doi:10.1007/3-540-48184-2_32.</w:t>
      </w:r>
      <w:bookmarkEnd w:id="13"/>
    </w:p>
    <w:p>
      <w:bookmarkStart w:id="14" w:name="ref_lbfs"/>
      <w:pPr>
        <w:pStyle w:val="IEEEReference"/>
        <w:widowControl/>
      </w:pPr>
      <w:r>
        <w:rPr>
          <w:rFonts w:ascii="Times New Roman" w:hAnsi="Times New Roman" w:eastAsia="Times New Roman" w:cs="Times New Roman"/>
          <w:color w:val="000000"/>
        </w:rPr>
        <w:t>[14] Athicha Muthitacharoen, Benjie Chen, and David Mazieres. 2001. A Low-Bandwidth Network File System. Proceedings of the 18th ACM Symposium on Operating Systems Principles, pages 174-187. doi:10.1145/502034.502052.</w:t>
      </w:r>
      <w:bookmarkEnd w:id="14"/>
    </w:p>
    <w:p>
      <w:bookmarkStart w:id="15" w:name="ref_forkbase"/>
      <w:pPr>
        <w:pStyle w:val="IEEEReference"/>
        <w:widowControl/>
      </w:pPr>
      <w:r>
        <w:rPr>
          <w:rFonts w:ascii="Times New Roman" w:hAnsi="Times New Roman" w:eastAsia="Times New Roman" w:cs="Times New Roman"/>
          <w:color w:val="000000"/>
        </w:rPr>
        <w:t>[15] Sheng Wang et al. 2018. ForkBase: An Efficient Storage Engine for Blockchain and Forkable Applications. Proceedings of the VLDB Endowment, 11(10):1137-1150. doi:10.14778/3231751.3231762.</w:t>
      </w:r>
      <w:bookmarkEnd w:id="15"/>
    </w:p>
    <w:p>
      <w:pPr>
        <w:pStyle w:val="Heading1"/>
        <w:keepNext/>
        <w:widowControl/>
      </w:pPr>
      <w:r>
        <w:rPr>
          <w:rFonts w:ascii="Times New Roman" w:hAnsi="Times New Roman" w:eastAsia="Times New Roman" w:cs="Times New Roman"/>
          <w:color w:val="000000"/>
        </w:rPr>
        <w:t>Appendix A  Reproducibility and Data Availability</w:t>
      </w:r>
    </w:p>
    <w:p>
      <w:pPr>
        <w:widowControl/>
        <w:spacing w:after="0" w:line="272" w:lineRule="exact"/>
        <w:ind w:firstLine="0"/>
        <w:jc w:val="both"/>
      </w:pPr>
      <w:r>
        <w:rPr>
          <w:rFonts w:ascii="Times New Roman" w:hAnsi="Times New Roman" w:eastAsia="Times New Roman" w:cs="Times New Roman"/>
          <w:color w:val="000000"/>
        </w:rPr>
        <w:t>The repository contains the benchmark harness, evidence audit, trie-sensitivity harness, and paper generator. Source code, artifacts, and reproduction instructions are available at https://github.com/atharvasheersh/Chronos. The final evidence bundle is evidence/paper-final-20260824; the sensitivity bundle is evidence/trie-sensitivity-20260824. Results in this paper are generated programmatically from their summary CSV files and verified against raw results and manifests; no table or graph uses an earlier validation export.</w:t>
      </w:r>
    </w:p>
    <w:p>
      <w:pPr>
        <w:widowControl/>
        <w:sectPr>
          <w:type w:val="continuous"/>
          <w:pgSz w:w="11906" w:h="16838"/>
          <w:pgMar w:top="1440" w:right="1440" w:bottom="1440" w:left="1440" w:header="432" w:footer="504" w:gutter="0"/>
          <w:cols w:num="2" w:space="346" w:equalWidth="1"/>
          <w:docGrid w:linePitch="360"/>
        </w:sectPr>
      </w:pPr>
    </w:p>
    <w:sectPr w:rsidR="00FC693F" w:rsidRPr="0006063C" w:rsidSect="00034616">
      <w:type w:val="continuous"/>
      <w:pgSz w:w="11906" w:h="16838"/>
      <w:pgMar w:top="1440" w:right="1440" w:bottom="1440" w:left="1440" w:header="432" w:footer="504"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2" w:lineRule="exact" w:after="0"/>
      <w:ind w:firstLine="216"/>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line="272" w:lineRule="exact"/>
      <w:ind w:firstLine="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40" w:line="272" w:lineRule="exact"/>
      <w:ind w:firstLine="0"/>
      <w:jc w:val="left"/>
      <w:outlineLvl w:val="1"/>
    </w:pPr>
    <w:rPr>
      <w:rFonts w:asciiTheme="majorHAnsi" w:eastAsiaTheme="majorEastAsia" w:hAnsiTheme="majorHAnsi" w:cstheme="majorBidi" w:ascii="Times New Roman" w:hAnsi="Times New Roman"/>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40" w:line="272" w:lineRule="exact"/>
      <w:ind w:firstLine="0"/>
      <w:jc w:val="left"/>
      <w:outlineLvl w:val="2"/>
    </w:pPr>
    <w:rPr>
      <w:rFonts w:asciiTheme="majorHAnsi" w:eastAsiaTheme="majorEastAsia" w:hAnsiTheme="majorHAnsi" w:cstheme="majorBidi" w:ascii="Times New Roman" w:hAnsi="Times New Roman"/>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560" w:line="320" w:lineRule="exact" w:before="160"/>
      <w:contextualSpacing/>
      <w:jc w:val="center"/>
    </w:pPr>
    <w:rPr>
      <w:rFonts w:asciiTheme="majorHAnsi" w:eastAsiaTheme="majorEastAsia" w:hAnsiTheme="majorHAnsi" w:cstheme="majorBidi" w:ascii="Times New Roman" w:hAnsi="Times New Roman"/>
      <w:b/>
      <w:color w:val="000000"/>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2" w:lineRule="exact"/>
      <w:ind w:left="288" w:hanging="216"/>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2" w:lineRule="exact"/>
      <w:ind w:left="288" w:hanging="216"/>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exact" w:before="60" w:after="120"/>
      <w:ind w:firstLine="0"/>
      <w:jc w:val="left"/>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Chronos: A Content-Addressed Versioned Data Store</dc:title>
  <dc:subject>Final research paper</dc:subject>
  <dc:creator>Adhyan Jain; Atharva Sheersh Pandey</dc:creator>
  <cp:keywords>content-addressed storage, structured data versioning, Merkle trie, incremental hashing, adaptive diff, Dolt</cp:keywords>
  <dc:description>generated by python-docx</dc:description>
  <cp:lastModifiedBy/>
  <cp:revision>1</cp:revision>
  <dcterms:created xsi:type="dcterms:W3CDTF">2013-12-23T23:15:00Z</dcterms:created>
  <dcterms:modified xsi:type="dcterms:W3CDTF">2013-12-23T23:15:00Z</dcterms:modified>
  <cp:category/>
</cp:coreProperties>
</file>