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19"/>
        </w:rPr>
        <w:t>IMPLEMENTATION STATUS</w:t>
      </w:r>
    </w:p>
    <w:p>
      <w:pPr>
        <w:spacing w:after="80"/>
      </w:pPr>
      <w:r>
        <w:rPr>
          <w:rFonts w:ascii="Calibri" w:hAnsi="Calibri"/>
          <w:b/>
          <w:color w:val="000000"/>
          <w:sz w:val="48"/>
        </w:rPr>
        <w:t>Chronos - Work Completed</w:t>
      </w:r>
    </w:p>
    <w:p>
      <w:pPr>
        <w:spacing w:after="240"/>
      </w:pPr>
      <w:r>
        <w:rPr>
          <w:rFonts w:ascii="Calibri" w:hAnsi="Calibri"/>
          <w:color w:val="666666"/>
          <w:sz w:val="27"/>
        </w:rPr>
        <w:t>Implemented capabilities, measured results, and verified project assets</w:t>
      </w:r>
    </w:p>
    <w:p>
      <w:pPr>
        <w:spacing w:after="40"/>
      </w:pPr>
      <w:r>
        <w:rPr>
          <w:rFonts w:ascii="Calibri" w:hAnsi="Calibri"/>
          <w:b/>
          <w:color w:val="000000"/>
          <w:sz w:val="20"/>
        </w:rPr>
        <w:t xml:space="preserve">Prepared: </w:t>
      </w:r>
      <w:r>
        <w:rPr>
          <w:rFonts w:ascii="Calibri" w:hAnsi="Calibri"/>
          <w:color w:val="666666"/>
          <w:sz w:val="20"/>
        </w:rPr>
        <w:t>4 August 2026</w:t>
      </w:r>
    </w:p>
    <w:p>
      <w:pPr>
        <w:spacing w:after="40"/>
      </w:pPr>
      <w:r>
        <w:rPr>
          <w:rFonts w:ascii="Calibri" w:hAnsi="Calibri"/>
          <w:b/>
          <w:color w:val="000000"/>
          <w:sz w:val="20"/>
        </w:rPr>
        <w:t xml:space="preserve">Scope: </w:t>
      </w:r>
      <w:r>
        <w:rPr>
          <w:rFonts w:ascii="Calibri" w:hAnsi="Calibri"/>
          <w:color w:val="666666"/>
          <w:sz w:val="20"/>
        </w:rPr>
        <w:t>In-memory Python prototype and benchmark suite</w:t>
      </w:r>
    </w:p>
    <w:p>
      <w:pPr>
        <w:spacing w:after="200"/>
        <w:pBdr>
          <w:bottom w:val="single" w:sz="10" w:space="5" w:color="2E74B5"/>
        </w:pBdr>
      </w:pPr>
      <w:r>
        <w:rPr>
          <w:rFonts w:ascii="Calibri" w:hAnsi="Calibri"/>
          <w:b/>
          <w:color w:val="000000"/>
          <w:sz w:val="20"/>
        </w:rPr>
        <w:t>Status: Core proof of concept complete and tested, with incremental writes and a commit graph</w:t>
      </w:r>
      <w:r>
        <w:rPr>
          <w:rFonts w:ascii="Calibri" w:hAnsi="Calibri"/>
          <w:color w:val="666666"/>
          <w:sz w:val="20"/>
        </w:rPr>
      </w:r>
    </w:p>
    <w:p>
      <w:pPr>
        <w:spacing w:before="80" w:after="160"/>
        <w:ind w:left="259" w:right="259"/>
        <w:shd w:fill="F3F7FB"/>
      </w:pPr>
      <w:r>
        <w:rPr>
          <w:rFonts w:ascii="Calibri" w:hAnsi="Calibri"/>
          <w:b/>
          <w:color w:val="1F4D78"/>
          <w:sz w:val="22"/>
        </w:rPr>
        <w:t>Current outcome: The required demonstration works end to end: commit version 1, change a few keys with put() without rebuilding the tree, commit further versions with messages, compare the roots, walk the commit history with log(), and check out any earlier version. Structural sharing and diff statistics are reported throughout.</w:t>
      </w:r>
      <w:r>
        <w:rPr>
          <w:rFonts w:ascii="Calibri" w:hAnsi="Calibri"/>
          <w:color w:val="000000"/>
          <w:sz w:val="22"/>
        </w:rPr>
      </w:r>
    </w:p>
    <w:p>
      <w:pPr>
        <w:pStyle w:val="Heading1"/>
      </w:pPr>
      <w:r>
        <w:t>1. Implemented capabilities</w:t>
      </w:r>
    </w:p>
    <w:tbl>
      <w:tblPr>
        <w:tblStyle w:val="TableGrid"/>
        <w:tblW w:type="dxa" w:w="9360"/>
        <w:tblLayout w:type="fixed"/>
        <w:tblLook w:firstColumn="1" w:firstRow="1" w:lastColumn="0" w:lastRow="0" w:noHBand="0" w:noVBand="1" w:val="04A0"/>
        <w:tblInd w:w="120" w:type="dxa"/>
      </w:tblPr>
      <w:tblGrid>
        <w:gridCol w:w="1700"/>
        <w:gridCol w:w="5560"/>
        <w:gridCol w:w="2100"/>
      </w:tblGrid>
      <w:tr>
        <w:trPr>
          <w:tblHeader w:val="true"/>
        </w:trPr>
        <w:tc>
          <w:tcPr>
            <w:tcW w:type="dxa" w:w="170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Area</w:t>
            </w:r>
          </w:p>
        </w:tc>
        <w:tc>
          <w:tcPr>
            <w:tcW w:type="dxa" w:w="556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Completed work</w:t>
            </w:r>
          </w:p>
        </w:tc>
        <w:tc>
          <w:tcPr>
            <w:tcW w:type="dxa" w:w="210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Evidence</w:t>
            </w:r>
          </w:p>
        </w:tc>
      </w:tr>
      <w:tr>
        <w:tc>
          <w:tcPr>
            <w:tcW w:type="dxa" w:w="17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Hash tree</w:t>
            </w:r>
          </w:p>
        </w:tc>
        <w:tc>
          <w:tcPr>
            <w:tcW w:type="dxa" w:w="55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Fixed-depth, configurable hash trie using dictionary-based internal and leaf nodes.</w:t>
            </w:r>
          </w:p>
        </w:tc>
        <w:tc>
          <w:tcPr>
            <w:tcW w:type="dxa" w:w="21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SHA-256 node IDs</w:t>
            </w:r>
          </w:p>
        </w:tc>
      </w:tr>
      <w:tr>
        <w:tc>
          <w:tcPr>
            <w:tcW w:type="dxa" w:w="17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Content addressing</w:t>
            </w:r>
          </w:p>
        </w:tc>
        <w:tc>
          <w:tcPr>
            <w:tcW w:type="dxa" w:w="55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Each node is stored once under a deterministic hash of canonical JSON content.</w:t>
            </w:r>
          </w:p>
        </w:tc>
        <w:tc>
          <w:tcPr>
            <w:tcW w:type="dxa" w:w="21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node_store[hash]</w:t>
            </w:r>
          </w:p>
        </w:tc>
      </w:tr>
      <w:tr>
        <w:tc>
          <w:tcPr>
            <w:tcW w:type="dxa" w:w="17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Commit</w:t>
            </w:r>
          </w:p>
        </w:tc>
        <w:tc>
          <w:tcPr>
            <w:tcW w:type="dxa" w:w="55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Builds a version root, records version-to-root mapping, and counts new and reused nodes.</w:t>
            </w:r>
          </w:p>
        </w:tc>
        <w:tc>
          <w:tcPr>
            <w:tcW w:type="dxa" w:w="2100"/>
            <w:tcMar>
              <w:top w:w="80" w:type="dxa"/>
              <w:start w:w="120" w:type="dxa"/>
              <w:bottom w:w="80" w:type="dxa"/>
              <w:end w:w="120" w:type="dxa"/>
            </w:tcMar>
            <w:vAlign w:val="center"/>
          </w:tcPr>
          <w:p>
            <w:pPr>
              <w:spacing w:before="0" w:after="0" w:line="264" w:lineRule="auto"/>
              <w:jc w:val="left"/>
            </w:pPr>
            <w:r>
              <w:t>commit(state, message)</w:t>
            </w:r>
            <w:r>
              <w:rPr>
                <w:rFonts w:ascii="Calibri" w:hAnsi="Calibri"/>
                <w:b w:val="0"/>
                <w:color w:val="000000"/>
                <w:sz w:val="18"/>
              </w:rPr>
            </w:r>
          </w:p>
        </w:tc>
      </w:tr>
      <w:tr>
        <w:tc>
          <w:tcPr>
            <w:tcW w:type="dxa" w:w="17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Diff</w:t>
            </w:r>
          </w:p>
        </w:tc>
        <w:tc>
          <w:tcPr>
            <w:tcW w:type="dxa" w:w="55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Walks two trees in parallel and stops immediately when subtree hashes match.</w:t>
            </w:r>
          </w:p>
        </w:tc>
        <w:tc>
          <w:tcPr>
            <w:tcW w:type="dxa" w:w="21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diff(root_a, root_b)</w:t>
            </w:r>
          </w:p>
        </w:tc>
      </w:tr>
      <w:tr>
        <w:tc>
          <w:tcPr>
            <w:tcW w:type="dxa" w:w="17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Statistics</w:t>
            </w:r>
          </w:p>
        </w:tc>
        <w:tc>
          <w:tcPr>
            <w:tcW w:type="dxa" w:w="55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Reports new/reused nodes, shared percentage, node pairs compared, and subtrees skipped.</w:t>
            </w:r>
          </w:p>
        </w:tc>
        <w:tc>
          <w:tcPr>
            <w:tcW w:type="dxa" w:w="21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CommitStats / DiffStats</w:t>
            </w:r>
          </w:p>
        </w:tc>
      </w:tr>
      <w:tr>
        <w:tc>
          <w:tcPr>
            <w:tcW w:type="dxa" w:w="17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Benchmarking</w:t>
            </w:r>
          </w:p>
        </w:tc>
        <w:tc>
          <w:tcPr>
            <w:tcW w:type="dxa" w:w="55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Compares full snapshots, operation logs, and Chronos under the same generated workload.</w:t>
            </w:r>
          </w:p>
        </w:tc>
        <w:tc>
          <w:tcPr>
            <w:tcW w:type="dxa" w:w="21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benchmarks.py</w:t>
            </w:r>
          </w:p>
        </w:tc>
      </w:tr>
      <w:tr>
        <w:tc>
          <w:tcPr>
            <w:tcW w:type="dxa" w:w="1700"/>
            <w:tcMar>
              <w:top w:w="80" w:type="dxa"/>
              <w:start w:w="120" w:type="dxa"/>
              <w:bottom w:w="80" w:type="dxa"/>
              <w:end w:w="120" w:type="dxa"/>
            </w:tcMar>
            <w:vAlign w:val="center"/>
          </w:tcPr>
          <w:p>
            <w:pPr>
              <w:spacing w:before="0" w:after="0" w:line="264" w:lineRule="auto"/>
              <w:jc w:val="left"/>
            </w:pPr>
            <w:r>
              <w:t>Incremental write</w:t>
            </w:r>
            <w:r>
              <w:rPr>
                <w:rFonts w:ascii="Calibri" w:hAnsi="Calibri"/>
                <w:b w:val="0"/>
                <w:color w:val="000000"/>
                <w:sz w:val="18"/>
              </w:rPr>
            </w:r>
          </w:p>
        </w:tc>
        <w:tc>
          <w:tcPr>
            <w:tcW w:type="dxa" w:w="5560"/>
            <w:tcMar>
              <w:top w:w="80" w:type="dxa"/>
              <w:start w:w="120" w:type="dxa"/>
              <w:bottom w:w="80" w:type="dxa"/>
              <w:end w:w="120" w:type="dxa"/>
            </w:tcMar>
            <w:vAlign w:val="center"/>
          </w:tcPr>
          <w:p>
            <w:pPr>
              <w:spacing w:before="0" w:after="0" w:line="264" w:lineRule="auto"/>
              <w:jc w:val="left"/>
            </w:pPr>
            <w:r>
              <w:t>Sets or removes a single key by rewriting only the tree_depth + 1 nodes on its routed path; every sibling subtree is reused by hash without recomputation.</w:t>
            </w:r>
            <w:r>
              <w:rPr>
                <w:rFonts w:ascii="Calibri" w:hAnsi="Calibri"/>
                <w:b w:val="0"/>
                <w:color w:val="000000"/>
                <w:sz w:val="18"/>
              </w:rPr>
            </w:r>
          </w:p>
        </w:tc>
        <w:tc>
          <w:tcPr>
            <w:tcW w:type="dxa" w:w="2100"/>
            <w:tcMar>
              <w:top w:w="80" w:type="dxa"/>
              <w:start w:w="120" w:type="dxa"/>
              <w:bottom w:w="80" w:type="dxa"/>
              <w:end w:w="120" w:type="dxa"/>
            </w:tcMar>
            <w:vAlign w:val="center"/>
          </w:tcPr>
          <w:p>
            <w:pPr>
              <w:spacing w:before="0" w:after="0" w:line="264" w:lineRule="auto"/>
              <w:jc w:val="left"/>
            </w:pPr>
            <w:r>
              <w:t>put(root, key, value) / delete(root, key)</w:t>
            </w:r>
            <w:r>
              <w:rPr>
                <w:rFonts w:ascii="Calibri" w:hAnsi="Calibri"/>
                <w:b w:val="0"/>
                <w:color w:val="000000"/>
                <w:sz w:val="18"/>
              </w:rPr>
            </w:r>
          </w:p>
        </w:tc>
      </w:tr>
      <w:tr>
        <w:tc>
          <w:tcPr>
            <w:tcW w:type="dxa" w:w="1700"/>
            <w:tcMar>
              <w:top w:w="80" w:type="dxa"/>
              <w:start w:w="120" w:type="dxa"/>
              <w:bottom w:w="80" w:type="dxa"/>
              <w:end w:w="120" w:type="dxa"/>
            </w:tcMar>
            <w:vAlign w:val="center"/>
          </w:tcPr>
          <w:p>
            <w:pPr>
              <w:spacing w:before="0" w:after="0" w:line="264" w:lineRule="auto"/>
              <w:jc w:val="left"/>
            </w:pPr>
            <w:r>
              <w:t>Commit graph</w:t>
            </w:r>
            <w:r>
              <w:rPr>
                <w:rFonts w:ascii="Calibri" w:hAnsi="Calibri"/>
                <w:b w:val="0"/>
                <w:color w:val="000000"/>
                <w:sz w:val="18"/>
              </w:rPr>
            </w:r>
          </w:p>
        </w:tc>
        <w:tc>
          <w:tcPr>
            <w:tcW w:type="dxa" w:w="5560"/>
            <w:tcMar>
              <w:top w:w="80" w:type="dxa"/>
              <w:start w:w="120" w:type="dxa"/>
              <w:bottom w:w="80" w:type="dxa"/>
              <w:end w:w="120" w:type="dxa"/>
            </w:tcMar>
            <w:vAlign w:val="center"/>
          </w:tcPr>
          <w:p>
            <w:pPr>
              <w:spacing w:before="0" w:after="0" w:line="264" w:lineRule="auto"/>
              <w:jc w:val="left"/>
            </w:pPr>
            <w:r>
              <w:t>Immutable commit objects carrying version, root hash, parent, message, and timestamp, with a tracked HEAD and parent-pointer history walk.</w:t>
            </w:r>
            <w:r>
              <w:rPr>
                <w:rFonts w:ascii="Calibri" w:hAnsi="Calibri"/>
                <w:b w:val="0"/>
                <w:color w:val="000000"/>
                <w:sz w:val="18"/>
              </w:rPr>
            </w:r>
          </w:p>
        </w:tc>
        <w:tc>
          <w:tcPr>
            <w:tcW w:type="dxa" w:w="2100"/>
            <w:tcMar>
              <w:top w:w="80" w:type="dxa"/>
              <w:start w:w="120" w:type="dxa"/>
              <w:bottom w:w="80" w:type="dxa"/>
              <w:end w:w="120" w:type="dxa"/>
            </w:tcMar>
            <w:vAlign w:val="center"/>
          </w:tcPr>
          <w:p>
            <w:pPr>
              <w:spacing w:before="0" w:after="0" w:line="264" w:lineRule="auto"/>
              <w:jc w:val="left"/>
            </w:pPr>
            <w:r>
              <w:t>Commit / log() / head</w:t>
            </w:r>
            <w:r>
              <w:rPr>
                <w:rFonts w:ascii="Calibri" w:hAnsi="Calibri"/>
                <w:b w:val="0"/>
                <w:color w:val="000000"/>
                <w:sz w:val="18"/>
              </w:rPr>
            </w:r>
          </w:p>
        </w:tc>
      </w:tr>
      <w:tr>
        <w:tc>
          <w:tcPr>
            <w:tcW w:type="dxa" w:w="1700"/>
            <w:tcMar>
              <w:top w:w="80" w:type="dxa"/>
              <w:start w:w="120" w:type="dxa"/>
              <w:bottom w:w="80" w:type="dxa"/>
              <w:end w:w="120" w:type="dxa"/>
            </w:tcMar>
            <w:vAlign w:val="center"/>
          </w:tcPr>
          <w:p>
            <w:pPr>
              <w:spacing w:before="0" w:after="0" w:line="264" w:lineRule="auto"/>
              <w:jc w:val="left"/>
            </w:pPr>
            <w:r>
              <w:t>Time travel</w:t>
            </w:r>
            <w:r>
              <w:rPr>
                <w:rFonts w:ascii="Calibri" w:hAnsi="Calibri"/>
                <w:b w:val="0"/>
                <w:color w:val="000000"/>
                <w:sz w:val="18"/>
              </w:rPr>
            </w:r>
          </w:p>
        </w:tc>
        <w:tc>
          <w:tcPr>
            <w:tcW w:type="dxa" w:w="5560"/>
            <w:tcMar>
              <w:top w:w="80" w:type="dxa"/>
              <w:start w:w="120" w:type="dxa"/>
              <w:bottom w:w="80" w:type="dxa"/>
              <w:end w:w="120" w:type="dxa"/>
            </w:tcMar>
            <w:vAlign w:val="center"/>
          </w:tcPr>
          <w:p>
            <w:pPr>
              <w:spacing w:before="0" w:after="0" w:line="264" w:lineRule="auto"/>
              <w:jc w:val="left"/>
            </w:pPr>
            <w:r>
              <w:t>Rebuilds the complete state at any committed version from its root hash.</w:t>
            </w:r>
            <w:r>
              <w:rPr>
                <w:rFonts w:ascii="Calibri" w:hAnsi="Calibri"/>
                <w:b w:val="0"/>
                <w:color w:val="000000"/>
                <w:sz w:val="18"/>
              </w:rPr>
            </w:r>
          </w:p>
        </w:tc>
        <w:tc>
          <w:tcPr>
            <w:tcW w:type="dxa" w:w="2100"/>
            <w:tcMar>
              <w:top w:w="80" w:type="dxa"/>
              <w:start w:w="120" w:type="dxa"/>
              <w:bottom w:w="80" w:type="dxa"/>
              <w:end w:w="120" w:type="dxa"/>
            </w:tcMar>
            <w:vAlign w:val="center"/>
          </w:tcPr>
          <w:p>
            <w:pPr>
              <w:spacing w:before="0" w:after="0" w:line="264" w:lineRule="auto"/>
              <w:jc w:val="left"/>
            </w:pPr>
            <w:r>
              <w:t>checkout(version) / materialize(root)</w:t>
            </w:r>
            <w:r>
              <w:rPr>
                <w:rFonts w:ascii="Calibri" w:hAnsi="Calibri"/>
                <w:b w:val="0"/>
                <w:color w:val="000000"/>
                <w:sz w:val="18"/>
              </w:rPr>
            </w:r>
          </w:p>
        </w:tc>
      </w:tr>
    </w:tbl>
    <w:p>
      <w:pPr>
        <w:spacing w:after="40"/>
      </w:pPr>
    </w:p>
    <w:p>
      <w:pPr>
        <w:pStyle w:val="Heading1"/>
      </w:pPr>
      <w:r>
        <w:t>2. Verified demonstration</w:t>
      </w:r>
    </w:p>
    <w:p>
      <w:pPr>
        <w:pStyle w:val="ListNumber"/>
      </w:pPr>
      <w:r>
        <w:t>Generate 1,000 deterministic key-value records and commit them as version 1.</w:t>
      </w:r>
    </w:p>
    <w:p>
      <w:pPr>
        <w:pStyle w:val="ListNumber"/>
      </w:pPr>
      <w:r>
        <w:t>Change key-0010, key-0500, and key-0900 using put(), one commit each, without rebuilding the tree.</w:t>
      </w:r>
    </w:p>
    <w:p>
      <w:pPr>
        <w:pStyle w:val="ListNumber"/>
      </w:pPr>
      <w:r>
        <w:t>Each put() creates its own version with a message and a parent pointer, reusing all matching nodes.</w:t>
      </w:r>
    </w:p>
    <w:p>
      <w:pPr>
        <w:pStyle w:val="ListNumber"/>
      </w:pPr>
      <w:r>
        <w:t>Diff the two root hashes and return the three changed keys.</w:t>
      </w:r>
    </w:p>
    <w:tbl>
      <w:tblPr>
        <w:tblStyle w:val="TableGrid"/>
        <w:tblW w:type="dxa" w:w="9360"/>
        <w:tblLayout w:type="fixed"/>
        <w:tblLook w:firstColumn="1" w:firstRow="1" w:lastColumn="0" w:lastRow="0" w:noHBand="0" w:noVBand="1" w:val="04A0"/>
        <w:tblInd w:w="120" w:type="dxa"/>
      </w:tblPr>
      <w:tblGrid>
        <w:gridCol w:w="2050"/>
        <w:gridCol w:w="2160"/>
        <w:gridCol w:w="5150"/>
      </w:tblGrid>
      <w:tr>
        <w:trPr>
          <w:tblHeader w:val="true"/>
        </w:trPr>
        <w:tc>
          <w:tcPr>
            <w:tcW w:type="dxa" w:w="205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Measured item</w:t>
            </w:r>
          </w:p>
        </w:tc>
        <w:tc>
          <w:tcPr>
            <w:tcW w:type="dxa" w:w="216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Result</w:t>
            </w:r>
          </w:p>
        </w:tc>
        <w:tc>
          <w:tcPr>
            <w:tcW w:type="dxa" w:w="515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Interpretation</w:t>
            </w:r>
          </w:p>
        </w:tc>
      </w:tr>
      <w:tr>
        <w:tc>
          <w:tcPr>
            <w:tcW w:type="dxa" w:w="20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Version 1</w:t>
            </w:r>
          </w:p>
        </w:tc>
        <w:tc>
          <w:tcPr>
            <w:tcW w:type="dxa" w:w="21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1,414 new nodes</w:t>
            </w:r>
          </w:p>
        </w:tc>
        <w:tc>
          <w:tcPr>
            <w:tcW w:type="dxa" w:w="51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Initial tree construction</w:t>
            </w:r>
          </w:p>
        </w:tc>
      </w:tr>
      <w:tr>
        <w:tc>
          <w:tcPr>
            <w:tcW w:type="dxa" w:w="20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Version 2</w:t>
            </w:r>
          </w:p>
        </w:tc>
        <w:tc>
          <w:tcPr>
            <w:tcW w:type="dxa" w:w="2160"/>
            <w:tcMar>
              <w:top w:w="80" w:type="dxa"/>
              <w:start w:w="120" w:type="dxa"/>
              <w:bottom w:w="80" w:type="dxa"/>
              <w:end w:w="120" w:type="dxa"/>
            </w:tcMar>
            <w:vAlign w:val="center"/>
          </w:tcPr>
          <w:p>
            <w:pPr>
              <w:spacing w:before="0" w:after="0" w:line="264" w:lineRule="auto"/>
              <w:jc w:val="left"/>
            </w:pPr>
            <w:r>
              <w:t>15 new nodes total</w:t>
            </w:r>
            <w:r>
              <w:rPr>
                <w:rFonts w:ascii="Calibri" w:hAnsi="Calibri"/>
                <w:b w:val="0"/>
                <w:color w:val="000000"/>
                <w:sz w:val="18"/>
              </w:rPr>
            </w:r>
          </w:p>
        </w:tc>
        <w:tc>
          <w:tcPr>
            <w:tcW w:type="dxa" w:w="5150"/>
            <w:tcMar>
              <w:top w:w="80" w:type="dxa"/>
              <w:start w:w="120" w:type="dxa"/>
              <w:bottom w:w="80" w:type="dxa"/>
              <w:end w:w="120" w:type="dxa"/>
            </w:tcMar>
            <w:vAlign w:val="center"/>
          </w:tcPr>
          <w:p>
            <w:pPr>
              <w:spacing w:before="0" w:after="0" w:line="264" w:lineRule="auto"/>
              <w:jc w:val="left"/>
            </w:pPr>
            <w:r>
              <w:t>Three put() calls, five nodes each (tree_depth + 1)</w:t>
            </w:r>
            <w:r>
              <w:rPr>
                <w:rFonts w:ascii="Calibri" w:hAnsi="Calibri"/>
                <w:b w:val="0"/>
                <w:color w:val="000000"/>
                <w:sz w:val="18"/>
              </w:rPr>
            </w:r>
          </w:p>
        </w:tc>
      </w:tr>
      <w:tr>
        <w:tc>
          <w:tcPr>
            <w:tcW w:type="dxa" w:w="20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Structural sharing</w:t>
            </w:r>
          </w:p>
        </w:tc>
        <w:tc>
          <w:tcPr>
            <w:tcW w:type="dxa" w:w="2160"/>
            <w:tcMar>
              <w:top w:w="80" w:type="dxa"/>
              <w:start w:w="120" w:type="dxa"/>
              <w:bottom w:w="80" w:type="dxa"/>
              <w:end w:w="120" w:type="dxa"/>
            </w:tcMar>
            <w:vAlign w:val="center"/>
          </w:tcPr>
          <w:p>
            <w:pPr>
              <w:spacing w:before="0" w:after="0" w:line="264" w:lineRule="auto"/>
              <w:jc w:val="left"/>
            </w:pPr>
            <w:r>
              <w:t>98.9%</w:t>
            </w:r>
            <w:r>
              <w:rPr>
                <w:rFonts w:ascii="Calibri" w:hAnsi="Calibri"/>
                <w:b w:val="0"/>
                <w:color w:val="000000"/>
                <w:sz w:val="18"/>
              </w:rPr>
            </w:r>
          </w:p>
        </w:tc>
        <w:tc>
          <w:tcPr>
            <w:tcW w:type="dxa" w:w="5150"/>
            <w:tcMar>
              <w:top w:w="80" w:type="dxa"/>
              <w:start w:w="120" w:type="dxa"/>
              <w:bottom w:w="80" w:type="dxa"/>
              <w:end w:w="120" w:type="dxa"/>
            </w:tcMar>
            <w:vAlign w:val="center"/>
          </w:tcPr>
          <w:p>
            <w:pPr>
              <w:spacing w:before="0" w:after="0" w:line="264" w:lineRule="auto"/>
              <w:jc w:val="left"/>
            </w:pPr>
            <w:r>
              <w:t>1,414 of 1,429 nodes were left untouched and shared</w:t>
            </w:r>
            <w:r>
              <w:rPr>
                <w:rFonts w:ascii="Calibri" w:hAnsi="Calibri"/>
                <w:b w:val="0"/>
                <w:color w:val="000000"/>
                <w:sz w:val="18"/>
              </w:rPr>
            </w:r>
          </w:p>
        </w:tc>
      </w:tr>
      <w:tr>
        <w:tc>
          <w:tcPr>
            <w:tcW w:type="dxa" w:w="20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Changed keys</w:t>
            </w:r>
          </w:p>
        </w:tc>
        <w:tc>
          <w:tcPr>
            <w:tcW w:type="dxa" w:w="21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3</w:t>
            </w:r>
          </w:p>
        </w:tc>
        <w:tc>
          <w:tcPr>
            <w:tcW w:type="dxa" w:w="51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All intended mutations were detected</w:t>
            </w:r>
          </w:p>
        </w:tc>
      </w:tr>
      <w:tr>
        <w:tc>
          <w:tcPr>
            <w:tcW w:type="dxa" w:w="20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Diff traversal</w:t>
            </w:r>
          </w:p>
        </w:tc>
        <w:tc>
          <w:tcPr>
            <w:tcW w:type="dxa" w:w="21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54 pairs / 42 skipped</w:t>
            </w:r>
          </w:p>
        </w:tc>
        <w:tc>
          <w:tcPr>
            <w:tcW w:type="dxa" w:w="515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Matching hashes prevented deeper traversal</w:t>
            </w:r>
          </w:p>
        </w:tc>
      </w:tr>
      <w:tr>
        <w:tc>
          <w:tcPr>
            <w:tcW w:type="dxa" w:w="2050"/>
            <w:tcMar>
              <w:top w:w="80" w:type="dxa"/>
              <w:start w:w="120" w:type="dxa"/>
              <w:bottom w:w="80" w:type="dxa"/>
              <w:end w:w="120" w:type="dxa"/>
            </w:tcMar>
            <w:vAlign w:val="center"/>
          </w:tcPr>
          <w:p>
            <w:pPr>
              <w:spacing w:before="0" w:after="0" w:line="264" w:lineRule="auto"/>
              <w:jc w:val="left"/>
            </w:pPr>
            <w:r>
              <w:t>Root equivalence</w:t>
            </w:r>
            <w:r>
              <w:rPr>
                <w:rFonts w:ascii="Calibri" w:hAnsi="Calibri"/>
                <w:b w:val="0"/>
                <w:color w:val="000000"/>
                <w:sz w:val="18"/>
              </w:rPr>
            </w:r>
          </w:p>
        </w:tc>
        <w:tc>
          <w:tcPr>
            <w:tcW w:type="dxa" w:w="2160"/>
            <w:tcMar>
              <w:top w:w="80" w:type="dxa"/>
              <w:start w:w="120" w:type="dxa"/>
              <w:bottom w:w="80" w:type="dxa"/>
              <w:end w:w="120" w:type="dxa"/>
            </w:tcMar>
            <w:vAlign w:val="center"/>
          </w:tcPr>
          <w:p>
            <w:pPr>
              <w:spacing w:before="0" w:after="0" w:line="264" w:lineRule="auto"/>
              <w:jc w:val="left"/>
            </w:pPr>
            <w:r>
              <w:t>Identical</w:t>
            </w:r>
            <w:r>
              <w:rPr>
                <w:rFonts w:ascii="Calibri" w:hAnsi="Calibri"/>
                <w:b w:val="0"/>
                <w:color w:val="000000"/>
                <w:sz w:val="18"/>
              </w:rPr>
            </w:r>
          </w:p>
        </w:tc>
        <w:tc>
          <w:tcPr>
            <w:tcW w:type="dxa" w:w="5150"/>
            <w:tcMar>
              <w:top w:w="80" w:type="dxa"/>
              <w:start w:w="120" w:type="dxa"/>
              <w:bottom w:w="80" w:type="dxa"/>
              <w:end w:w="120" w:type="dxa"/>
            </w:tcMar>
            <w:vAlign w:val="center"/>
          </w:tcPr>
          <w:p>
            <w:pPr>
              <w:spacing w:before="0" w:after="0" w:line="264" w:lineRule="auto"/>
              <w:jc w:val="left"/>
            </w:pPr>
            <w:r>
              <w:t>The put() root hash matches a full rebuild of the same state</w:t>
            </w:r>
            <w:r>
              <w:rPr>
                <w:rFonts w:ascii="Calibri" w:hAnsi="Calibri"/>
                <w:b w:val="0"/>
                <w:color w:val="000000"/>
                <w:sz w:val="18"/>
              </w:rPr>
            </w:r>
          </w:p>
        </w:tc>
      </w:tr>
      <w:tr>
        <w:tc>
          <w:tcPr>
            <w:tcW w:type="dxa" w:w="2050"/>
            <w:tcMar>
              <w:top w:w="80" w:type="dxa"/>
              <w:start w:w="120" w:type="dxa"/>
              <w:bottom w:w="80" w:type="dxa"/>
              <w:end w:w="120" w:type="dxa"/>
            </w:tcMar>
            <w:vAlign w:val="center"/>
          </w:tcPr>
          <w:p>
            <w:pPr>
              <w:spacing w:before="0" w:after="0" w:line="264" w:lineRule="auto"/>
              <w:jc w:val="left"/>
            </w:pPr>
            <w:r>
              <w:t>History</w:t>
            </w:r>
            <w:r>
              <w:rPr>
                <w:rFonts w:ascii="Calibri" w:hAnsi="Calibri"/>
                <w:b w:val="0"/>
                <w:color w:val="000000"/>
                <w:sz w:val="18"/>
              </w:rPr>
            </w:r>
          </w:p>
        </w:tc>
        <w:tc>
          <w:tcPr>
            <w:tcW w:type="dxa" w:w="2160"/>
            <w:tcMar>
              <w:top w:w="80" w:type="dxa"/>
              <w:start w:w="120" w:type="dxa"/>
              <w:bottom w:w="80" w:type="dxa"/>
              <w:end w:w="120" w:type="dxa"/>
            </w:tcMar>
            <w:vAlign w:val="center"/>
          </w:tcPr>
          <w:p>
            <w:pPr>
              <w:spacing w:before="0" w:after="0" w:line="264" w:lineRule="auto"/>
              <w:jc w:val="left"/>
            </w:pPr>
            <w:r>
              <w:t>4 commits, checkout(1) exact</w:t>
            </w:r>
            <w:r>
              <w:rPr>
                <w:rFonts w:ascii="Calibri" w:hAnsi="Calibri"/>
                <w:b w:val="0"/>
                <w:color w:val="000000"/>
                <w:sz w:val="18"/>
              </w:rPr>
            </w:r>
          </w:p>
        </w:tc>
        <w:tc>
          <w:tcPr>
            <w:tcW w:type="dxa" w:w="5150"/>
            <w:tcMar>
              <w:top w:w="80" w:type="dxa"/>
              <w:start w:w="120" w:type="dxa"/>
              <w:bottom w:w="80" w:type="dxa"/>
              <w:end w:w="120" w:type="dxa"/>
            </w:tcMar>
            <w:vAlign w:val="center"/>
          </w:tcPr>
          <w:p>
            <w:pPr>
              <w:spacing w:before="0" w:after="0" w:line="264" w:lineRule="auto"/>
              <w:jc w:val="left"/>
            </w:pPr>
            <w:r>
              <w:t>log() walks HEAD to v1; version 1 state is unchanged</w:t>
            </w:r>
            <w:r>
              <w:rPr>
                <w:rFonts w:ascii="Calibri" w:hAnsi="Calibri"/>
                <w:b w:val="0"/>
                <w:color w:val="000000"/>
                <w:sz w:val="18"/>
              </w:rPr>
            </w:r>
          </w:p>
        </w:tc>
      </w:tr>
    </w:tbl>
    <w:p>
      <w:pPr>
        <w:spacing w:after="40"/>
      </w:pPr>
    </w:p>
    <w:p>
      <w:pPr>
        <w:pStyle w:val="Heading1"/>
      </w:pPr>
      <w:r>
        <w:t>3. Benchmark suite</w:t>
      </w:r>
    </w:p>
    <w:p>
      <w:r>
        <w:t>The benchmark suite measures four independent dimensions: median update-commit time, median diff time, logical serialized storage, and the amount of work examined during diff. All models must return the same changed-key set before results are accepted.</w:t>
      </w:r>
    </w:p>
    <w:tbl>
      <w:tblPr>
        <w:tblStyle w:val="TableGrid"/>
        <w:tblW w:type="dxa" w:w="9360"/>
        <w:tblLayout w:type="fixed"/>
        <w:tblLook w:firstColumn="1" w:firstRow="1" w:lastColumn="0" w:lastRow="0" w:noHBand="0" w:noVBand="1" w:val="04A0"/>
        <w:tblInd w:w="120" w:type="dxa"/>
      </w:tblPr>
      <w:tblGrid>
        <w:gridCol w:w="2300"/>
        <w:gridCol w:w="1450"/>
        <w:gridCol w:w="1450"/>
        <w:gridCol w:w="1450"/>
        <w:gridCol w:w="2710"/>
      </w:tblGrid>
      <w:tr>
        <w:trPr>
          <w:tblHeader w:val="true"/>
        </w:trPr>
        <w:tc>
          <w:tcPr>
            <w:tcW w:type="dxa" w:w="230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Model</w:t>
            </w:r>
          </w:p>
        </w:tc>
        <w:tc>
          <w:tcPr>
            <w:tcW w:type="dxa" w:w="1450"/>
            <w:shd w:fill="E8EEF5"/>
            <w:tcMar>
              <w:top w:w="80" w:type="dxa"/>
              <w:start w:w="120" w:type="dxa"/>
              <w:bottom w:w="80" w:type="dxa"/>
              <w:end w:w="120" w:type="dxa"/>
            </w:tcMar>
            <w:vAlign w:val="center"/>
          </w:tcPr>
          <w:p>
            <w:pPr>
              <w:spacing w:before="0" w:after="0" w:line="264" w:lineRule="auto"/>
              <w:jc w:val="right"/>
            </w:pPr>
            <w:r/>
            <w:r>
              <w:rPr>
                <w:rFonts w:ascii="Calibri" w:hAnsi="Calibri"/>
                <w:b/>
                <w:color w:val="1F4D78"/>
                <w:sz w:val="19"/>
              </w:rPr>
              <w:t>Commit</w:t>
            </w:r>
          </w:p>
        </w:tc>
        <w:tc>
          <w:tcPr>
            <w:tcW w:type="dxa" w:w="1450"/>
            <w:shd w:fill="E8EEF5"/>
            <w:tcMar>
              <w:top w:w="80" w:type="dxa"/>
              <w:start w:w="120" w:type="dxa"/>
              <w:bottom w:w="80" w:type="dxa"/>
              <w:end w:w="120" w:type="dxa"/>
            </w:tcMar>
            <w:vAlign w:val="center"/>
          </w:tcPr>
          <w:p>
            <w:pPr>
              <w:spacing w:before="0" w:after="0" w:line="264" w:lineRule="auto"/>
              <w:jc w:val="right"/>
            </w:pPr>
            <w:r/>
            <w:r>
              <w:rPr>
                <w:rFonts w:ascii="Calibri" w:hAnsi="Calibri"/>
                <w:b/>
                <w:color w:val="1F4D78"/>
                <w:sz w:val="19"/>
              </w:rPr>
              <w:t>Diff</w:t>
            </w:r>
          </w:p>
        </w:tc>
        <w:tc>
          <w:tcPr>
            <w:tcW w:type="dxa" w:w="1450"/>
            <w:shd w:fill="E8EEF5"/>
            <w:tcMar>
              <w:top w:w="80" w:type="dxa"/>
              <w:start w:w="120" w:type="dxa"/>
              <w:bottom w:w="80" w:type="dxa"/>
              <w:end w:w="120" w:type="dxa"/>
            </w:tcMar>
            <w:vAlign w:val="center"/>
          </w:tcPr>
          <w:p>
            <w:pPr>
              <w:spacing w:before="0" w:after="0" w:line="264" w:lineRule="auto"/>
              <w:jc w:val="right"/>
            </w:pPr>
            <w:r/>
            <w:r>
              <w:rPr>
                <w:rFonts w:ascii="Calibri" w:hAnsi="Calibri"/>
                <w:b/>
                <w:color w:val="1F4D78"/>
                <w:sz w:val="19"/>
              </w:rPr>
              <w:t>Storage</w:t>
            </w:r>
          </w:p>
        </w:tc>
        <w:tc>
          <w:tcPr>
            <w:tcW w:type="dxa" w:w="2710"/>
            <w:shd w:fill="E8EEF5"/>
            <w:tcMar>
              <w:top w:w="80" w:type="dxa"/>
              <w:start w:w="120" w:type="dxa"/>
              <w:bottom w:w="80" w:type="dxa"/>
              <w:end w:w="120" w:type="dxa"/>
            </w:tcMar>
            <w:vAlign w:val="center"/>
          </w:tcPr>
          <w:p>
            <w:pPr>
              <w:spacing w:before="0" w:after="0" w:line="264" w:lineRule="auto"/>
              <w:jc w:val="right"/>
            </w:pPr>
            <w:r/>
            <w:r>
              <w:rPr>
                <w:rFonts w:ascii="Calibri" w:hAnsi="Calibri"/>
                <w:b/>
                <w:color w:val="1F4D78"/>
                <w:sz w:val="19"/>
              </w:rPr>
              <w:t>Diff examined</w:t>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State: full copies</w:t>
            </w:r>
          </w:p>
        </w:tc>
        <w:tc>
          <w:tcPr>
            <w:tcW w:type="dxa" w:w="1450"/>
            <w:tcMar>
              <w:top w:w="80" w:type="dxa"/>
              <w:start w:w="120" w:type="dxa"/>
              <w:bottom w:w="80" w:type="dxa"/>
              <w:end w:w="120" w:type="dxa"/>
            </w:tcMar>
            <w:vAlign w:val="center"/>
          </w:tcPr>
          <w:p>
            <w:pPr>
              <w:spacing w:before="0" w:after="0" w:line="264" w:lineRule="auto"/>
              <w:jc w:val="right"/>
            </w:pPr>
            <w:r>
              <w:t>6.183 ms</w:t>
            </w:r>
            <w:r>
              <w:rPr>
                <w:rFonts w:ascii="Calibri" w:hAnsi="Calibri"/>
                <w:b w:val="0"/>
                <w:color w:val="000000"/>
                <w:sz w:val="18"/>
              </w:rPr>
            </w:r>
          </w:p>
        </w:tc>
        <w:tc>
          <w:tcPr>
            <w:tcW w:type="dxa" w:w="1450"/>
            <w:tcMar>
              <w:top w:w="80" w:type="dxa"/>
              <w:start w:w="120" w:type="dxa"/>
              <w:bottom w:w="80" w:type="dxa"/>
              <w:end w:w="120" w:type="dxa"/>
            </w:tcMar>
            <w:vAlign w:val="center"/>
          </w:tcPr>
          <w:p>
            <w:pPr>
              <w:spacing w:before="0" w:after="0" w:line="264" w:lineRule="auto"/>
              <w:jc w:val="right"/>
            </w:pPr>
            <w:r>
              <w:t>144.077 ms</w:t>
            </w:r>
            <w:r>
              <w:rPr>
                <w:rFonts w:ascii="Calibri" w:hAnsi="Calibri"/>
                <w:b w:val="0"/>
                <w:color w:val="000000"/>
                <w:sz w:val="18"/>
              </w:rPr>
            </w:r>
          </w:p>
        </w:tc>
        <w:tc>
          <w:tcPr>
            <w:tcW w:type="dxa" w:w="1450"/>
            <w:tcMar>
              <w:top w:w="80" w:type="dxa"/>
              <w:start w:w="120" w:type="dxa"/>
              <w:bottom w:w="80" w:type="dxa"/>
              <w:end w:w="120" w:type="dxa"/>
            </w:tcMar>
            <w:vAlign w:val="center"/>
          </w:tcPr>
          <w:p>
            <w:pPr>
              <w:spacing w:before="0" w:after="0" w:line="264" w:lineRule="auto"/>
              <w:jc w:val="right"/>
            </w:pPr>
            <w:r>
              <w:t>10.0 MiB</w:t>
            </w:r>
            <w:r>
              <w:rPr>
                <w:rFonts w:ascii="Calibri" w:hAnsi="Calibri"/>
                <w:b w:val="0"/>
                <w:color w:val="000000"/>
                <w:sz w:val="18"/>
              </w:rPr>
            </w:r>
          </w:p>
        </w:tc>
        <w:tc>
          <w:tcPr>
            <w:tcW w:type="dxa" w:w="2710"/>
            <w:tcMar>
              <w:top w:w="80" w:type="dxa"/>
              <w:start w:w="120" w:type="dxa"/>
              <w:bottom w:w="80" w:type="dxa"/>
              <w:end w:w="120" w:type="dxa"/>
            </w:tcMar>
            <w:vAlign w:val="center"/>
          </w:tcPr>
          <w:p>
            <w:pPr>
              <w:spacing w:before="0" w:after="0" w:line="264" w:lineRule="auto"/>
              <w:jc w:val="right"/>
            </w:pPr>
            <w:r>
              <w:t>100,000 keys</w:t>
            </w:r>
            <w:r>
              <w:rPr>
                <w:rFonts w:ascii="Calibri" w:hAnsi="Calibri"/>
                <w:b w:val="0"/>
                <w:color w:val="000000"/>
                <w:sz w:val="18"/>
              </w:rPr>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Operational: log</w:t>
            </w:r>
          </w:p>
        </w:tc>
        <w:tc>
          <w:tcPr>
            <w:tcW w:type="dxa" w:w="1450"/>
            <w:tcMar>
              <w:top w:w="80" w:type="dxa"/>
              <w:start w:w="120" w:type="dxa"/>
              <w:bottom w:w="80" w:type="dxa"/>
              <w:end w:w="120" w:type="dxa"/>
            </w:tcMar>
            <w:vAlign w:val="center"/>
          </w:tcPr>
          <w:p>
            <w:pPr>
              <w:spacing w:before="0" w:after="0" w:line="264" w:lineRule="auto"/>
              <w:jc w:val="right"/>
            </w:pPr>
            <w:r>
              <w:t>0.001 ms</w:t>
            </w:r>
            <w:r>
              <w:rPr>
                <w:rFonts w:ascii="Calibri" w:hAnsi="Calibri"/>
                <w:b w:val="0"/>
                <w:color w:val="000000"/>
                <w:sz w:val="18"/>
              </w:rPr>
            </w:r>
          </w:p>
        </w:tc>
        <w:tc>
          <w:tcPr>
            <w:tcW w:type="dxa" w:w="1450"/>
            <w:tcMar>
              <w:top w:w="80" w:type="dxa"/>
              <w:start w:w="120" w:type="dxa"/>
              <w:bottom w:w="80" w:type="dxa"/>
              <w:end w:w="120" w:type="dxa"/>
            </w:tcMar>
            <w:vAlign w:val="center"/>
          </w:tcPr>
          <w:p>
            <w:pPr>
              <w:spacing w:before="0" w:after="0" w:line="264" w:lineRule="auto"/>
              <w:jc w:val="right"/>
            </w:pPr>
            <w:r>
              <w:t>0.020 ms</w:t>
            </w:r>
            <w:r>
              <w:rPr>
                <w:rFonts w:ascii="Calibri" w:hAnsi="Calibri"/>
                <w:b w:val="0"/>
                <w:color w:val="000000"/>
                <w:sz w:val="18"/>
              </w:rPr>
            </w:r>
          </w:p>
        </w:tc>
        <w:tc>
          <w:tcPr>
            <w:tcW w:type="dxa" w:w="1450"/>
            <w:tcMar>
              <w:top w:w="80" w:type="dxa"/>
              <w:start w:w="120" w:type="dxa"/>
              <w:bottom w:w="80" w:type="dxa"/>
              <w:end w:w="120" w:type="dxa"/>
            </w:tcMar>
            <w:vAlign w:val="center"/>
          </w:tcPr>
          <w:p>
            <w:pPr>
              <w:spacing w:before="0" w:after="0" w:line="264" w:lineRule="auto"/>
              <w:jc w:val="right"/>
            </w:pPr>
            <w:r>
              <w:t>2.0 MiB</w:t>
            </w:r>
            <w:r>
              <w:rPr>
                <w:rFonts w:ascii="Calibri" w:hAnsi="Calibri"/>
                <w:b w:val="0"/>
                <w:color w:val="000000"/>
                <w:sz w:val="18"/>
              </w:rPr>
            </w:r>
          </w:p>
        </w:tc>
        <w:tc>
          <w:tcPr>
            <w:tcW w:type="dxa" w:w="2710"/>
            <w:tcMar>
              <w:top w:w="80" w:type="dxa"/>
              <w:start w:w="120" w:type="dxa"/>
              <w:bottom w:w="80" w:type="dxa"/>
              <w:end w:w="120" w:type="dxa"/>
            </w:tcMar>
            <w:vAlign w:val="center"/>
          </w:tcPr>
          <w:p>
            <w:pPr>
              <w:spacing w:before="0" w:after="0" w:line="264" w:lineRule="auto"/>
              <w:jc w:val="right"/>
            </w:pPr>
            <w:r>
              <w:t>40 operations</w:t>
            </w:r>
            <w:r>
              <w:rPr>
                <w:rFonts w:ascii="Calibri" w:hAnsi="Calibri"/>
                <w:b w:val="0"/>
                <w:color w:val="000000"/>
                <w:sz w:val="18"/>
              </w:rPr>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Chronos: hash tree</w:t>
            </w:r>
          </w:p>
        </w:tc>
        <w:tc>
          <w:tcPr>
            <w:tcW w:type="dxa" w:w="1450"/>
            <w:tcMar>
              <w:top w:w="80" w:type="dxa"/>
              <w:start w:w="120" w:type="dxa"/>
              <w:bottom w:w="80" w:type="dxa"/>
              <w:end w:w="120" w:type="dxa"/>
            </w:tcMar>
            <w:vAlign w:val="center"/>
          </w:tcPr>
          <w:p>
            <w:pPr>
              <w:spacing w:before="0" w:after="0" w:line="264" w:lineRule="auto"/>
              <w:jc w:val="right"/>
            </w:pPr>
            <w:r>
              <w:t>1.735 ms</w:t>
            </w:r>
            <w:r>
              <w:rPr>
                <w:rFonts w:ascii="Calibri" w:hAnsi="Calibri"/>
                <w:b w:val="0"/>
                <w:color w:val="000000"/>
                <w:sz w:val="18"/>
              </w:rPr>
            </w:r>
          </w:p>
        </w:tc>
        <w:tc>
          <w:tcPr>
            <w:tcW w:type="dxa" w:w="1450"/>
            <w:tcMar>
              <w:top w:w="80" w:type="dxa"/>
              <w:start w:w="120" w:type="dxa"/>
              <w:bottom w:w="80" w:type="dxa"/>
              <w:end w:w="120" w:type="dxa"/>
            </w:tcMar>
            <w:vAlign w:val="center"/>
          </w:tcPr>
          <w:p>
            <w:pPr>
              <w:spacing w:before="0" w:after="0" w:line="264" w:lineRule="auto"/>
              <w:jc w:val="right"/>
            </w:pPr>
            <w:r>
              <w:t>1.754 ms</w:t>
            </w:r>
            <w:r>
              <w:rPr>
                <w:rFonts w:ascii="Calibri" w:hAnsi="Calibri"/>
                <w:b w:val="0"/>
                <w:color w:val="000000"/>
                <w:sz w:val="18"/>
              </w:rPr>
            </w:r>
          </w:p>
        </w:tc>
        <w:tc>
          <w:tcPr>
            <w:tcW w:type="dxa" w:w="1450"/>
            <w:tcMar>
              <w:top w:w="80" w:type="dxa"/>
              <w:start w:w="120" w:type="dxa"/>
              <w:bottom w:w="80" w:type="dxa"/>
              <w:end w:w="120" w:type="dxa"/>
            </w:tcMar>
            <w:vAlign w:val="center"/>
          </w:tcPr>
          <w:p>
            <w:pPr>
              <w:spacing w:before="0" w:after="0" w:line="264" w:lineRule="auto"/>
              <w:jc w:val="right"/>
            </w:pPr>
            <w:r>
              <w:t>3.0 MiB</w:t>
            </w:r>
            <w:r>
              <w:rPr>
                <w:rFonts w:ascii="Calibri" w:hAnsi="Calibri"/>
                <w:b w:val="0"/>
                <w:color w:val="000000"/>
                <w:sz w:val="18"/>
              </w:rPr>
            </w:r>
          </w:p>
        </w:tc>
        <w:tc>
          <w:tcPr>
            <w:tcW w:type="dxa" w:w="2710"/>
            <w:tcMar>
              <w:top w:w="80" w:type="dxa"/>
              <w:start w:w="120" w:type="dxa"/>
              <w:bottom w:w="80" w:type="dxa"/>
              <w:end w:w="120" w:type="dxa"/>
            </w:tcMar>
            <w:vAlign w:val="center"/>
          </w:tcPr>
          <w:p>
            <w:pPr>
              <w:spacing w:before="0" w:after="0" w:line="264" w:lineRule="auto"/>
              <w:jc w:val="right"/>
            </w:pPr>
            <w:r>
              <w:t>601 tree nodes</w:t>
            </w:r>
            <w:r>
              <w:rPr>
                <w:rFonts w:ascii="Calibri" w:hAnsi="Calibri"/>
                <w:b w:val="0"/>
                <w:color w:val="000000"/>
                <w:sz w:val="18"/>
              </w:rPr>
            </w:r>
          </w:p>
        </w:tc>
      </w:tr>
    </w:tbl>
    <w:p>
      <w:pPr>
        <w:spacing w:after="40"/>
      </w:pPr>
    </w:p>
    <w:p>
      <w:pPr>
        <w:spacing w:after="160"/>
      </w:pPr>
      <w:r>
        <w:rPr>
          <w:rFonts w:ascii="Calibri" w:hAnsi="Calibri"/>
          <w:b/>
          <w:color w:val="666666"/>
          <w:sz w:val="19"/>
        </w:rPr>
        <w:t>Benchmark context: 100,000 rows, five versions, and 10 mutations per new version. The Chronos commit figure is now measured on the incremental put() path. Timings are environment-specific prototype measurements and were all taken in a single run on one machine, so the comparison between rows is meaningful while the absolute values are not portable.</w:t>
      </w:r>
      <w:r>
        <w:rPr>
          <w:rFonts w:ascii="Calibri" w:hAnsi="Calibri"/>
          <w:i/>
          <w:color w:val="666666"/>
          <w:sz w:val="19"/>
        </w:rPr>
      </w:r>
    </w:p>
    <w:p>
      <w:pPr>
        <w:pStyle w:val="ListBullet"/>
      </w:pPr>
      <w:r>
        <w:t>Chronos diff was roughly 80 times faster than the full-snapshot scan at 100,000 rows, examining 601 tree nodes instead of 100,000 keys.</w:t>
      </w:r>
    </w:p>
    <w:p>
      <w:pPr>
        <w:pStyle w:val="ListBullet"/>
      </w:pPr>
      <w:r>
        <w:t>Chronos used about 70% less logical storage than five complete snapshots.</w:t>
      </w:r>
    </w:p>
    <w:p>
      <w:pPr>
        <w:pStyle w:val="ListBullet"/>
      </w:pPr>
      <w:r>
        <w:t>The operation log remains fastest for this short history because only 40 operations separate the compared versions; its diff cost grows with history length, while the Chronos diff cost does not.</w:t>
      </w:r>
    </w:p>
    <w:p>
      <w:pPr>
        <w:pStyle w:val="ListBullet"/>
      </w:pPr>
      <w:r>
        <w:t>Chronos commit is no longer dominated by full-tree rebuilding: the incremental put() path cut the 100,000-row commit from 652 ms to 1.4 ms in a matched run, and it is now faster than copying the full state. A three-key change creates 15 nodes out of 4,681.</w:t>
      </w:r>
    </w:p>
    <w:p>
      <w:pPr>
        <w:pStyle w:val="Heading1"/>
      </w:pPr>
      <w:r>
        <w:t>4. Verification and project assets</w:t>
      </w:r>
    </w:p>
    <w:tbl>
      <w:tblPr>
        <w:tblStyle w:val="TableGrid"/>
        <w:tblW w:type="dxa" w:w="9360"/>
        <w:tblLayout w:type="fixed"/>
        <w:tblLook w:firstColumn="1" w:firstRow="1" w:lastColumn="0" w:lastRow="0" w:noHBand="0" w:noVBand="1" w:val="04A0"/>
        <w:tblInd w:w="120" w:type="dxa"/>
      </w:tblPr>
      <w:tblGrid>
        <w:gridCol w:w="2300"/>
        <w:gridCol w:w="4860"/>
        <w:gridCol w:w="2200"/>
      </w:tblGrid>
      <w:tr>
        <w:trPr>
          <w:tblHeader w:val="true"/>
        </w:trPr>
        <w:tc>
          <w:tcPr>
            <w:tcW w:type="dxa" w:w="230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Asset</w:t>
            </w:r>
          </w:p>
        </w:tc>
        <w:tc>
          <w:tcPr>
            <w:tcW w:type="dxa" w:w="486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Purpose</w:t>
            </w:r>
          </w:p>
        </w:tc>
        <w:tc>
          <w:tcPr>
            <w:tcW w:type="dxa" w:w="2200"/>
            <w:shd w:fill="E8EEF5"/>
            <w:tcMar>
              <w:top w:w="80" w:type="dxa"/>
              <w:start w:w="120" w:type="dxa"/>
              <w:bottom w:w="80" w:type="dxa"/>
              <w:end w:w="120" w:type="dxa"/>
            </w:tcMar>
            <w:vAlign w:val="center"/>
          </w:tcPr>
          <w:p>
            <w:pPr>
              <w:spacing w:before="0" w:after="0" w:line="264" w:lineRule="auto"/>
              <w:jc w:val="left"/>
            </w:pPr>
            <w:r/>
            <w:r>
              <w:rPr>
                <w:rFonts w:ascii="Calibri" w:hAnsi="Calibri"/>
                <w:b/>
                <w:color w:val="1F4D78"/>
                <w:sz w:val="19"/>
              </w:rPr>
              <w:t>Status</w:t>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versioned_db.py</w:t>
            </w:r>
          </w:p>
        </w:tc>
        <w:tc>
          <w:tcPr>
            <w:tcW w:type="dxa" w:w="4860"/>
            <w:tcMar>
              <w:top w:w="80" w:type="dxa"/>
              <w:start w:w="120" w:type="dxa"/>
              <w:bottom w:w="80" w:type="dxa"/>
              <w:end w:w="120" w:type="dxa"/>
            </w:tcMar>
            <w:vAlign w:val="center"/>
          </w:tcPr>
          <w:p>
            <w:pPr>
              <w:spacing w:before="0" w:after="0" w:line="264" w:lineRule="auto"/>
              <w:jc w:val="left"/>
            </w:pPr>
            <w:r>
              <w:t>Core hash tree, commit, incremental put/delete, commit graph, checkout, diff, and statistics</w:t>
            </w:r>
            <w:r>
              <w:rPr>
                <w:rFonts w:ascii="Calibri" w:hAnsi="Calibri"/>
                <w:b w:val="0"/>
                <w:color w:val="000000"/>
                <w:sz w:val="18"/>
              </w:rPr>
            </w:r>
          </w:p>
        </w:tc>
        <w:tc>
          <w:tcPr>
            <w:tcW w:type="dxa" w:w="22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Complete for prototype</w:t>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demo.py</w:t>
            </w:r>
          </w:p>
        </w:tc>
        <w:tc>
          <w:tcPr>
            <w:tcW w:type="dxa" w:w="48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Presentation-ready 1,000-key demonstration</w:t>
            </w:r>
          </w:p>
        </w:tc>
        <w:tc>
          <w:tcPr>
            <w:tcW w:type="dxa" w:w="22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Runs successfully</w:t>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benchmarks.py</w:t>
            </w:r>
          </w:p>
        </w:tc>
        <w:tc>
          <w:tcPr>
            <w:tcW w:type="dxa" w:w="4860"/>
            <w:tcMar>
              <w:top w:w="80" w:type="dxa"/>
              <w:start w:w="120" w:type="dxa"/>
              <w:bottom w:w="80" w:type="dxa"/>
              <w:end w:w="120" w:type="dxa"/>
            </w:tcMar>
            <w:vAlign w:val="center"/>
          </w:tcPr>
          <w:p>
            <w:pPr>
              <w:spacing w:before="0" w:after="0" w:line="264" w:lineRule="auto"/>
              <w:jc w:val="left"/>
            </w:pPr>
            <w:r>
              <w:t>Three-model comparison with four metrics, on the incremental path</w:t>
            </w:r>
            <w:r>
              <w:rPr>
                <w:rFonts w:ascii="Calibri" w:hAnsi="Calibri"/>
                <w:b w:val="0"/>
                <w:color w:val="000000"/>
                <w:sz w:val="18"/>
              </w:rPr>
            </w:r>
          </w:p>
        </w:tc>
        <w:tc>
          <w:tcPr>
            <w:tcW w:type="dxa" w:w="22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Runs successfully</w:t>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test_versioned_db.py</w:t>
            </w:r>
          </w:p>
        </w:tc>
        <w:tc>
          <w:tcPr>
            <w:tcW w:type="dxa" w:w="48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Core behavior tests</w:t>
            </w:r>
          </w:p>
        </w:tc>
        <w:tc>
          <w:tcPr>
            <w:tcW w:type="dxa" w:w="2200"/>
            <w:tcMar>
              <w:top w:w="80" w:type="dxa"/>
              <w:start w:w="120" w:type="dxa"/>
              <w:bottom w:w="80" w:type="dxa"/>
              <w:end w:w="120" w:type="dxa"/>
            </w:tcMar>
            <w:vAlign w:val="center"/>
          </w:tcPr>
          <w:p>
            <w:pPr>
              <w:spacing w:before="0" w:after="0" w:line="264" w:lineRule="auto"/>
              <w:jc w:val="left"/>
            </w:pPr>
            <w:r>
              <w:t>16 tests passing</w:t>
            </w:r>
            <w:r>
              <w:rPr>
                <w:rFonts w:ascii="Calibri" w:hAnsi="Calibri"/>
                <w:b w:val="0"/>
                <w:color w:val="000000"/>
                <w:sz w:val="18"/>
              </w:rPr>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test_benchmarks.py</w:t>
            </w:r>
          </w:p>
        </w:tc>
        <w:tc>
          <w:tcPr>
            <w:tcW w:type="dxa" w:w="48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Benchmark correctness and workload tests</w:t>
            </w:r>
          </w:p>
        </w:tc>
        <w:tc>
          <w:tcPr>
            <w:tcW w:type="dxa" w:w="22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2 tests passing</w:t>
            </w:r>
          </w:p>
        </w:tc>
      </w:tr>
      <w:tr>
        <w:tc>
          <w:tcPr>
            <w:tcW w:type="dxa" w:w="23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README.md</w:t>
            </w:r>
          </w:p>
        </w:tc>
        <w:tc>
          <w:tcPr>
            <w:tcW w:type="dxa" w:w="486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Run and sample-test instructions</w:t>
            </w:r>
          </w:p>
        </w:tc>
        <w:tc>
          <w:tcPr>
            <w:tcW w:type="dxa" w:w="2200"/>
            <w:tcMar>
              <w:top w:w="80" w:type="dxa"/>
              <w:start w:w="120" w:type="dxa"/>
              <w:bottom w:w="80" w:type="dxa"/>
              <w:end w:w="120" w:type="dxa"/>
            </w:tcMar>
            <w:vAlign w:val="center"/>
          </w:tcPr>
          <w:p>
            <w:pPr>
              <w:spacing w:before="0" w:after="0" w:line="264" w:lineRule="auto"/>
              <w:jc w:val="left"/>
            </w:pPr>
            <w:r/>
            <w:r>
              <w:rPr>
                <w:rFonts w:ascii="Calibri" w:hAnsi="Calibri"/>
                <w:b w:val="0"/>
                <w:color w:val="000000"/>
                <w:sz w:val="18"/>
              </w:rPr>
              <w:t>Updated</w:t>
            </w:r>
          </w:p>
        </w:tc>
      </w:tr>
      <w:tr>
        <w:tc>
          <w:tcPr>
            <w:tcW w:type="dxa" w:w="2300"/>
            <w:tcMar>
              <w:top w:w="80" w:type="dxa"/>
              <w:start w:w="120" w:type="dxa"/>
              <w:bottom w:w="80" w:type="dxa"/>
              <w:end w:w="120" w:type="dxa"/>
            </w:tcMar>
            <w:vAlign w:val="center"/>
          </w:tcPr>
          <w:p>
            <w:pPr>
              <w:spacing w:before="0" w:after="0" w:line="264" w:lineRule="auto"/>
              <w:jc w:val="left"/>
            </w:pPr>
            <w:r>
              <w:t>incremental_demo.py</w:t>
            </w:r>
            <w:r>
              <w:rPr>
                <w:rFonts w:ascii="Calibri" w:hAnsi="Calibri"/>
                <w:b w:val="0"/>
                <w:color w:val="000000"/>
                <w:sz w:val="18"/>
              </w:rPr>
            </w:r>
          </w:p>
        </w:tc>
        <w:tc>
          <w:tcPr>
            <w:tcW w:type="dxa" w:w="4860"/>
            <w:tcMar>
              <w:top w:w="80" w:type="dxa"/>
              <w:start w:w="120" w:type="dxa"/>
              <w:bottom w:w="80" w:type="dxa"/>
              <w:end w:w="120" w:type="dxa"/>
            </w:tcMar>
            <w:vAlign w:val="center"/>
          </w:tcPr>
          <w:p>
            <w:pPr>
              <w:spacing w:before="0" w:after="0" w:line="264" w:lineRule="auto"/>
              <w:jc w:val="left"/>
            </w:pPr>
            <w:r>
              <w:t>Live walkthrough of put(), message-bearing commits, log(), and checkout()</w:t>
            </w:r>
            <w:r>
              <w:rPr>
                <w:rFonts w:ascii="Calibri" w:hAnsi="Calibri"/>
                <w:b w:val="0"/>
                <w:color w:val="000000"/>
                <w:sz w:val="18"/>
              </w:rPr>
            </w:r>
          </w:p>
        </w:tc>
        <w:tc>
          <w:tcPr>
            <w:tcW w:type="dxa" w:w="2200"/>
            <w:tcMar>
              <w:top w:w="80" w:type="dxa"/>
              <w:start w:w="120" w:type="dxa"/>
              <w:bottom w:w="80" w:type="dxa"/>
              <w:end w:w="120" w:type="dxa"/>
            </w:tcMar>
            <w:vAlign w:val="center"/>
          </w:tcPr>
          <w:p>
            <w:pPr>
              <w:spacing w:before="0" w:after="0" w:line="264" w:lineRule="auto"/>
              <w:jc w:val="left"/>
            </w:pPr>
            <w:r>
              <w:t>Runs successfully</w:t>
            </w:r>
            <w:r>
              <w:rPr>
                <w:rFonts w:ascii="Calibri" w:hAnsi="Calibri"/>
                <w:b w:val="0"/>
                <w:color w:val="000000"/>
                <w:sz w:val="18"/>
              </w:rPr>
            </w:r>
          </w:p>
        </w:tc>
      </w:tr>
      <w:tr>
        <w:tc>
          <w:tcPr>
            <w:tcW w:type="dxa" w:w="2300"/>
            <w:tcMar>
              <w:top w:w="80" w:type="dxa"/>
              <w:start w:w="120" w:type="dxa"/>
              <w:bottom w:w="80" w:type="dxa"/>
              <w:end w:w="120" w:type="dxa"/>
            </w:tcMar>
            <w:vAlign w:val="center"/>
          </w:tcPr>
          <w:p>
            <w:pPr>
              <w:spacing w:before="0" w:after="0" w:line="264" w:lineRule="auto"/>
              <w:jc w:val="left"/>
            </w:pPr>
            <w:r>
              <w:t>incremental_benchmark.py</w:t>
            </w:r>
            <w:r>
              <w:rPr>
                <w:rFonts w:ascii="Calibri" w:hAnsi="Calibri"/>
                <w:b w:val="0"/>
                <w:color w:val="000000"/>
                <w:sz w:val="18"/>
              </w:rPr>
            </w:r>
          </w:p>
        </w:tc>
        <w:tc>
          <w:tcPr>
            <w:tcW w:type="dxa" w:w="4860"/>
            <w:tcMar>
              <w:top w:w="80" w:type="dxa"/>
              <w:start w:w="120" w:type="dxa"/>
              <w:bottom w:w="80" w:type="dxa"/>
              <w:end w:w="120" w:type="dxa"/>
            </w:tcMar>
            <w:vAlign w:val="center"/>
          </w:tcPr>
          <w:p>
            <w:pPr>
              <w:spacing w:before="0" w:after="0" w:line="264" w:lineRule="auto"/>
              <w:jc w:val="left"/>
            </w:pPr>
            <w:r>
              <w:t>Incremental path versus the old full-rebuild path, at three scales</w:t>
            </w:r>
            <w:r>
              <w:rPr>
                <w:rFonts w:ascii="Calibri" w:hAnsi="Calibri"/>
                <w:b w:val="0"/>
                <w:color w:val="000000"/>
                <w:sz w:val="18"/>
              </w:rPr>
            </w:r>
          </w:p>
        </w:tc>
        <w:tc>
          <w:tcPr>
            <w:tcW w:type="dxa" w:w="2200"/>
            <w:tcMar>
              <w:top w:w="80" w:type="dxa"/>
              <w:start w:w="120" w:type="dxa"/>
              <w:bottom w:w="80" w:type="dxa"/>
              <w:end w:w="120" w:type="dxa"/>
            </w:tcMar>
            <w:vAlign w:val="center"/>
          </w:tcPr>
          <w:p>
            <w:pPr>
              <w:spacing w:before="0" w:after="0" w:line="264" w:lineRule="auto"/>
              <w:jc w:val="left"/>
            </w:pPr>
            <w:r>
              <w:t>Runs successfully</w:t>
            </w:r>
            <w:r>
              <w:rPr>
                <w:rFonts w:ascii="Calibri" w:hAnsi="Calibri"/>
                <w:b w:val="0"/>
                <w:color w:val="000000"/>
                <w:sz w:val="18"/>
              </w:rPr>
            </w:r>
          </w:p>
        </w:tc>
      </w:tr>
      <w:tr>
        <w:tc>
          <w:tcPr>
            <w:tcW w:type="dxa" w:w="2300"/>
            <w:tcMar>
              <w:top w:w="80" w:type="dxa"/>
              <w:start w:w="120" w:type="dxa"/>
              <w:bottom w:w="80" w:type="dxa"/>
              <w:end w:w="120" w:type="dxa"/>
            </w:tcMar>
            <w:vAlign w:val="center"/>
          </w:tcPr>
          <w:p>
            <w:pPr>
              <w:spacing w:before="0" w:after="0" w:line="264" w:lineRule="auto"/>
              <w:jc w:val="left"/>
            </w:pPr>
            <w:r>
              <w:t>test_csv_snapshot_demo.py</w:t>
            </w:r>
            <w:r>
              <w:rPr>
                <w:rFonts w:ascii="Calibri" w:hAnsi="Calibri"/>
                <w:b w:val="0"/>
                <w:color w:val="000000"/>
                <w:sz w:val="18"/>
              </w:rPr>
            </w:r>
          </w:p>
        </w:tc>
        <w:tc>
          <w:tcPr>
            <w:tcW w:type="dxa" w:w="4860"/>
            <w:tcMar>
              <w:top w:w="80" w:type="dxa"/>
              <w:start w:w="120" w:type="dxa"/>
              <w:bottom w:w="80" w:type="dxa"/>
              <w:end w:w="120" w:type="dxa"/>
            </w:tcMar>
            <w:vAlign w:val="center"/>
          </w:tcPr>
          <w:p>
            <w:pPr>
              <w:spacing w:before="0" w:after="0" w:line="264" w:lineRule="auto"/>
              <w:jc w:val="left"/>
            </w:pPr>
            <w:r>
              <w:t>CSV loading, commit metadata, and diff tests</w:t>
            </w:r>
            <w:r>
              <w:rPr>
                <w:rFonts w:ascii="Calibri" w:hAnsi="Calibri"/>
                <w:b w:val="0"/>
                <w:color w:val="000000"/>
                <w:sz w:val="18"/>
              </w:rPr>
            </w:r>
          </w:p>
        </w:tc>
        <w:tc>
          <w:tcPr>
            <w:tcW w:type="dxa" w:w="2200"/>
            <w:tcMar>
              <w:top w:w="80" w:type="dxa"/>
              <w:start w:w="120" w:type="dxa"/>
              <w:bottom w:w="80" w:type="dxa"/>
              <w:end w:w="120" w:type="dxa"/>
            </w:tcMar>
            <w:vAlign w:val="center"/>
          </w:tcPr>
          <w:p>
            <w:pPr>
              <w:spacing w:before="0" w:after="0" w:line="264" w:lineRule="auto"/>
              <w:jc w:val="left"/>
            </w:pPr>
            <w:r>
              <w:t>3 tests passing</w:t>
            </w:r>
            <w:r>
              <w:rPr>
                <w:rFonts w:ascii="Calibri" w:hAnsi="Calibri"/>
                <w:b w:val="0"/>
                <w:color w:val="000000"/>
                <w:sz w:val="18"/>
              </w:rPr>
            </w:r>
          </w:p>
        </w:tc>
      </w:tr>
      <w:tr>
        <w:tc>
          <w:tcPr>
            <w:tcW w:type="dxa" w:w="2300"/>
            <w:tcMar>
              <w:top w:w="80" w:type="dxa"/>
              <w:start w:w="120" w:type="dxa"/>
              <w:bottom w:w="80" w:type="dxa"/>
              <w:end w:w="120" w:type="dxa"/>
            </w:tcMar>
            <w:vAlign w:val="center"/>
          </w:tcPr>
          <w:p>
            <w:pPr>
              <w:spacing w:before="0" w:after="0" w:line="264" w:lineRule="auto"/>
              <w:jc w:val="left"/>
            </w:pPr>
            <w:r>
              <w:t>BENCHMARK_RESULTS_POST_INCREMENTAL.md</w:t>
            </w:r>
            <w:r>
              <w:rPr>
                <w:rFonts w:ascii="Calibri" w:hAnsi="Calibri"/>
                <w:b w:val="0"/>
                <w:color w:val="000000"/>
                <w:sz w:val="18"/>
              </w:rPr>
            </w:r>
          </w:p>
        </w:tc>
        <w:tc>
          <w:tcPr>
            <w:tcW w:type="dxa" w:w="4860"/>
            <w:tcMar>
              <w:top w:w="80" w:type="dxa"/>
              <w:start w:w="120" w:type="dxa"/>
              <w:bottom w:w="80" w:type="dxa"/>
              <w:end w:w="120" w:type="dxa"/>
            </w:tcMar>
            <w:vAlign w:val="center"/>
          </w:tcPr>
          <w:p>
            <w:pPr>
              <w:spacing w:before="0" w:after="0" w:line="264" w:lineRule="auto"/>
              <w:jc w:val="left"/>
            </w:pPr>
            <w:r>
              <w:t>Recorded before/after commit timings and diff sanity checks</w:t>
            </w:r>
            <w:r>
              <w:rPr>
                <w:rFonts w:ascii="Calibri" w:hAnsi="Calibri"/>
                <w:b w:val="0"/>
                <w:color w:val="000000"/>
                <w:sz w:val="18"/>
              </w:rPr>
            </w:r>
          </w:p>
        </w:tc>
        <w:tc>
          <w:tcPr>
            <w:tcW w:type="dxa" w:w="2200"/>
            <w:tcMar>
              <w:top w:w="80" w:type="dxa"/>
              <w:start w:w="120" w:type="dxa"/>
              <w:bottom w:w="80" w:type="dxa"/>
              <w:end w:w="120" w:type="dxa"/>
            </w:tcMar>
            <w:vAlign w:val="center"/>
          </w:tcPr>
          <w:p>
            <w:pPr>
              <w:spacing w:before="0" w:after="0" w:line="264" w:lineRule="auto"/>
              <w:jc w:val="left"/>
            </w:pPr>
            <w:r>
              <w:t>Current</w:t>
            </w:r>
            <w:r>
              <w:rPr>
                <w:rFonts w:ascii="Calibri" w:hAnsi="Calibri"/>
                <w:b w:val="0"/>
                <w:color w:val="000000"/>
                <w:sz w:val="18"/>
              </w:rPr>
            </w:r>
          </w:p>
        </w:tc>
      </w:tr>
      <w:tr>
        <w:tc>
          <w:tcPr>
            <w:tcW w:type="dxa" w:w="2300"/>
            <w:tcMar>
              <w:top w:w="80" w:type="dxa"/>
              <w:start w:w="120" w:type="dxa"/>
              <w:bottom w:w="80" w:type="dxa"/>
              <w:end w:w="120" w:type="dxa"/>
            </w:tcMar>
            <w:vAlign w:val="center"/>
          </w:tcPr>
          <w:p>
            <w:pPr>
              <w:spacing w:before="0" w:after="0" w:line="264" w:lineRule="auto"/>
              <w:jc w:val="left"/>
            </w:pPr>
            <w:r>
              <w:t>PLANS.md</w:t>
            </w:r>
            <w:r>
              <w:rPr>
                <w:rFonts w:ascii="Calibri" w:hAnsi="Calibri"/>
                <w:b w:val="0"/>
                <w:color w:val="000000"/>
                <w:sz w:val="18"/>
              </w:rPr>
            </w:r>
          </w:p>
        </w:tc>
        <w:tc>
          <w:tcPr>
            <w:tcW w:type="dxa" w:w="4860"/>
            <w:tcMar>
              <w:top w:w="80" w:type="dxa"/>
              <w:start w:w="120" w:type="dxa"/>
              <w:bottom w:w="80" w:type="dxa"/>
              <w:end w:w="120" w:type="dxa"/>
            </w:tcMar>
            <w:vAlign w:val="center"/>
          </w:tcPr>
          <w:p>
            <w:pPr>
              <w:spacing w:before="0" w:after="0" w:line="264" w:lineRule="auto"/>
              <w:jc w:val="left"/>
            </w:pPr>
            <w:r>
              <w:t>Roadmap and candidate research directions beyond this review</w:t>
            </w:r>
            <w:r>
              <w:rPr>
                <w:rFonts w:ascii="Calibri" w:hAnsi="Calibri"/>
                <w:b w:val="0"/>
                <w:color w:val="000000"/>
                <w:sz w:val="18"/>
              </w:rPr>
            </w:r>
          </w:p>
        </w:tc>
        <w:tc>
          <w:tcPr>
            <w:tcW w:type="dxa" w:w="2200"/>
            <w:tcMar>
              <w:top w:w="80" w:type="dxa"/>
              <w:start w:w="120" w:type="dxa"/>
              <w:bottom w:w="80" w:type="dxa"/>
              <w:end w:w="120" w:type="dxa"/>
            </w:tcMar>
            <w:vAlign w:val="center"/>
          </w:tcPr>
          <w:p>
            <w:pPr>
              <w:spacing w:before="0" w:after="0" w:line="264" w:lineRule="auto"/>
              <w:jc w:val="left"/>
            </w:pPr>
            <w:r>
              <w:t>Current</w:t>
            </w:r>
            <w:r>
              <w:rPr>
                <w:rFonts w:ascii="Calibri" w:hAnsi="Calibri"/>
                <w:b w:val="0"/>
                <w:color w:val="000000"/>
                <w:sz w:val="18"/>
              </w:rPr>
            </w:r>
          </w:p>
        </w:tc>
      </w:tr>
    </w:tbl>
    <w:p>
      <w:pPr>
        <w:spacing w:after="40"/>
      </w:pPr>
    </w:p>
    <w:p>
      <w:pPr>
        <w:spacing w:before="80" w:after="160"/>
        <w:ind w:left="259" w:right="259"/>
        <w:shd w:fill="F3F7FB"/>
      </w:pPr>
      <w:r>
        <w:rPr>
          <w:rFonts w:ascii="Calibri" w:hAnsi="Calibri"/>
          <w:b/>
          <w:color w:val="1F4D78"/>
          <w:sz w:val="22"/>
        </w:rPr>
        <w:t>Scope boundary: The completed system is an in-memory proof of concept. It provides incremental writes, a commit graph, and checkout, but does not yet provide durable storage, crash recovery, transactions, branching, or merging.</w:t>
      </w:r>
      <w:r>
        <w:rPr>
          <w:rFonts w:ascii="Calibri" w:hAnsi="Calibri"/>
          <w:color w:val="000000"/>
          <w:sz w:val="22"/>
        </w:rPr>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Chronos | </w:t>
    </w:r>
    <w:r>
      <w:rPr>
        <w:rFonts w:ascii="Calibri" w:hAnsi="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b/>
        <w:color w:val="666666"/>
        <w:sz w:val="18"/>
      </w:rPr>
      <w:t>CHRONOS PROJECT</w:t>
    </w:r>
    <w:r>
      <w:rPr>
        <w:rFonts w:ascii="Calibri" w:hAnsi="Calibri"/>
        <w:color w:val="666666"/>
        <w:sz w:val="18"/>
      </w:rPr>
      <w:tab/>
      <w:t>WORK COMPLETED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