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360" w:lineRule="auto"/>
      </w:pPr>
      <w:r>
        <w:rPr>
          <w:rFonts w:ascii="Times New Roman" w:hAnsi="Times New Roman" w:eastAsia="Times New Roman" w:cs="Times New Roman"/>
          <w:color w:val="000000"/>
          <w:sz w:val="24"/>
        </w:rPr>
        <w:t>Chronos: A Content-Addressed Versioned Data Store</w:t>
      </w:r>
    </w:p>
    <w:p>
      <w:pPr>
        <w:widowControl/>
        <w:spacing w:after="160" w:line="360" w:lineRule="auto"/>
        <w:ind w:firstLine="0"/>
        <w:jc w:val="center"/>
      </w:pPr>
      <w:r>
        <w:rPr>
          <w:rFonts w:ascii="Times New Roman" w:hAnsi="Times New Roman" w:eastAsia="Times New Roman" w:cs="Times New Roman"/>
          <w:i/>
          <w:color w:val="000000"/>
          <w:sz w:val="24"/>
        </w:rPr>
        <w:t>A Git-Inspired Approach to Structured Data Versioning Using Merkle Search Trees</w:t>
      </w:r>
    </w:p>
    <w:p>
      <w:pPr>
        <w:widowControl/>
        <w:spacing w:after="200" w:line="360" w:lineRule="auto"/>
        <w:ind w:firstLine="0"/>
        <w:jc w:val="center"/>
      </w:pPr>
      <w:r>
        <w:rPr>
          <w:rFonts w:ascii="Times New Roman" w:hAnsi="Times New Roman" w:eastAsia="Times New Roman" w:cs="Times New Roman"/>
          <w:color w:val="000000"/>
          <w:sz w:val="24"/>
        </w:rPr>
        <w:t>Chronos Project Team</w:t>
        <w:br/>
        <w:t>Content-Addressed Versioned Data Store Project</w:t>
        <w:br/>
        <w:t>github.com/atharvasheersh/Chronos</w:t>
      </w:r>
    </w:p>
    <w:p>
      <w:pPr>
        <w:widowControl/>
        <w:spacing w:after="80" w:line="360" w:lineRule="auto"/>
        <w:ind w:left="648" w:right="648" w:firstLine="0"/>
        <w:jc w:val="both"/>
      </w:pPr>
      <w:r>
        <w:rPr>
          <w:rFonts w:ascii="Times New Roman" w:hAnsi="Times New Roman" w:eastAsia="Times New Roman" w:cs="Times New Roman"/>
          <w:b/>
          <w:i/>
          <w:color w:val="000000"/>
          <w:sz w:val="24"/>
        </w:rPr>
        <w:t>Abstract-</w:t>
      </w:r>
      <w:r>
        <w:rPr>
          <w:rFonts w:ascii="Times New Roman" w:hAnsi="Times New Roman" w:eastAsia="Times New Roman" w:cs="Times New Roman"/>
          <w:i/>
          <w:color w:val="000000"/>
          <w:sz w:val="24"/>
        </w:rPr>
        <w:t>Versioning structured datasets requires durable history, efficient sparse updates, historical reconstruction, and comparison without copying or scanning every record. Chronos is a Python prototype built around an immutable fixed-depth Merkle hash trie. A commit rewrites only affected leaf buckets and the union of their ancestor paths; unchanged subtrees are reused by content hash. Chronos-H adds addressed changesets and selects between log aggregation and hash-pruned tree differencing using a separately calibrated threshold. We evaluate Snapshot, Log-only, forced-Merkle Chronos-M, Chronos-H, and Dolt 2.3.1 on identical deterministic workloads up to 100,000 rows. The audited paper run contains 333 successful and correct trials. Under the CLI-facing protocol, Chronos-H diff latency was 5.8x to 554.2x lower than Dolt and its incremental commit latency was 2.3x to 37.4x lower, while Chronos-H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widowControl/>
        <w:spacing w:line="360" w:lineRule="auto"/>
        <w:ind w:left="648" w:right="648" w:firstLine="0"/>
        <w:jc w:val="both"/>
      </w:pPr>
      <w:r>
        <w:rPr>
          <w:rFonts w:ascii="Times New Roman" w:hAnsi="Times New Roman" w:eastAsia="Times New Roman" w:cs="Times New Roman"/>
          <w:b/>
          <w:i/>
          <w:color w:val="000000"/>
          <w:sz w:val="24"/>
        </w:rPr>
        <w:t>Index Terms-</w:t>
      </w:r>
      <w:r>
        <w:rPr>
          <w:rFonts w:ascii="Times New Roman" w:hAnsi="Times New Roman" w:eastAsia="Times New Roman" w:cs="Times New Roman"/>
          <w:i/>
          <w:color w:val="000000"/>
          <w:sz w:val="24"/>
        </w:rPr>
        <w:t>content-addressed storage, dataset versioning, Merkle trie, copy-on-write, adaptive differencing, SQLite, Dolt</w:t>
      </w:r>
    </w:p>
    <w:p>
      <w:pPr>
        <w:widowControl/>
        <w:spacing w:line="360" w:lineRule="auto"/>
        <w:sectPr>
          <w:headerReference w:type="default" r:id="rId9"/>
          <w:footerReference w:type="default" r:id="rId10"/>
          <w:pgSz w:w="12240" w:h="15840"/>
          <w:pgMar w:top="1008" w:right="936" w:bottom="1008" w:left="936" w:header="432" w:footer="504" w:gutter="0"/>
          <w:cols w:num="1"/>
          <w:docGrid w:linePitch="360"/>
        </w:sectPr>
      </w:pPr>
    </w:p>
    <w:p>
      <w:pPr>
        <w:pStyle w:val="Heading1"/>
        <w:keepNext/>
        <w:widowControl/>
        <w:spacing w:line="360" w:lineRule="auto"/>
      </w:pPr>
      <w:r>
        <w:rPr>
          <w:rFonts w:ascii="Times New Roman" w:hAnsi="Times New Roman" w:eastAsia="Times New Roman" w:cs="Times New Roman"/>
          <w:smallCaps/>
          <w:color w:val="000000"/>
          <w:sz w:val="24"/>
        </w:rPr>
        <w:t>I. INTRODUCTION</w:t>
      </w:r>
    </w:p>
    <w:p>
      <w:pPr>
        <w:widowControl/>
        <w:spacing w:after="30" w:line="360" w:lineRule="auto"/>
        <w:ind w:firstLine="0"/>
        <w:jc w:val="both"/>
      </w:pPr>
      <w:r>
        <w:rPr>
          <w:rFonts w:ascii="Times New Roman" w:hAnsi="Times New Roman" w:eastAsia="Times New Roman" w:cs="Times New Roman"/>
          <w:color w:val="000000"/>
          <w:sz w:val="24"/>
        </w:rPr>
        <w:t>Version control for structured data is more than archiving files. A useful system must retain exact versions, apply sparse mutations without rebuilding the complete state, reconstruct historical versions, and identify changes efficiently. Git demonstrates the value of immutable content-addressed objects and parent-linked commits [2], but its tree model is file-oriented. Structured records introduce stable keys, diverse mutation densities, and comparisons that may span either a few operations or many commits.</w:t>
      </w:r>
    </w:p>
    <w:p>
      <w:pPr>
        <w:widowControl/>
        <w:spacing w:after="30" w:line="360" w:lineRule="auto"/>
        <w:ind w:firstLine="202"/>
        <w:jc w:val="both"/>
      </w:pPr>
      <w:r>
        <w:rPr>
          <w:rFonts w:ascii="Times New Roman" w:hAnsi="Times New Roman" w:eastAsia="Times New Roman" w:cs="Times New Roman"/>
          <w:color w:val="000000"/>
          <w:sz w:val="24"/>
        </w:rPr>
        <w:t>Chronos studies whether a deliberately simple fixed-depth Merkle hash trie can combine incremental structural sharing with an operation index. The primary model, Chronos-H, selects a log path for short or sparse history intervals and a Merkle path for intervals whose accumulated operations exceed a frozen calibration boundary. SQLite supplies an atomic durable object container; it does not define the versioning algorithm.</w:t>
      </w:r>
    </w:p>
    <w:p>
      <w:pPr>
        <w:widowControl/>
        <w:spacing w:after="30" w:line="360" w:lineRule="auto"/>
        <w:ind w:firstLine="202"/>
        <w:jc w:val="both"/>
      </w:pPr>
      <w:r>
        <w:rPr>
          <w:rFonts w:ascii="Times New Roman" w:hAnsi="Times New Roman" w:eastAsia="Times New Roman" w:cs="Times New Roman"/>
          <w:color w:val="000000"/>
          <w:sz w:val="24"/>
        </w:rPr>
        <w:t>Dolt is the production comparator because it combines SQL semantics, a Git-style commit graph, and content-addressed Prolly Trees [3], [4]. Chronos is not presented as a feature replacement for Dolt. The comparison instead identifies the performance and storage trade-offs of a smaller instrumentable mechanism under a reproducible CLI-facing protocol.</w:t>
      </w:r>
    </w:p>
    <w:p>
      <w:pPr>
        <w:pStyle w:val="Heading2"/>
        <w:keepNext/>
        <w:widowControl/>
        <w:spacing w:line="360" w:lineRule="auto"/>
      </w:pPr>
      <w:r>
        <w:rPr>
          <w:rFonts w:ascii="Times New Roman" w:hAnsi="Times New Roman" w:eastAsia="Times New Roman" w:cs="Times New Roman"/>
          <w:color w:val="000000"/>
          <w:sz w:val="24"/>
        </w:rPr>
        <w:t>A. Research Questions</w:t>
      </w:r>
    </w:p>
    <w:p>
      <w:pPr>
        <w:pStyle w:val="ListBullet"/>
        <w:widowControl/>
        <w:spacing w:line="360" w:lineRule="auto"/>
      </w:pPr>
      <w:r>
        <w:rPr>
          <w:rFonts w:ascii="Times New Roman" w:hAnsi="Times New Roman" w:eastAsia="Times New Roman" w:cs="Times New Roman"/>
          <w:color w:val="000000"/>
          <w:sz w:val="24"/>
        </w:rPr>
        <w:t>RQ1: What latency and storage trade-offs does Chronos-H exhibit against Snapshot, Log-only, and Dolt across dataset size, mutation density, and locality?</w:t>
      </w:r>
    </w:p>
    <w:p>
      <w:pPr>
        <w:pStyle w:val="ListBullet"/>
        <w:widowControl/>
        <w:spacing w:line="360" w:lineRule="auto"/>
      </w:pPr>
      <w:r>
        <w:rPr>
          <w:rFonts w:ascii="Times New Roman" w:hAnsi="Times New Roman" w:eastAsia="Times New Roman" w:cs="Times New Roman"/>
          <w:color w:val="000000"/>
          <w:sz w:val="24"/>
        </w:rPr>
        <w:t>RQ2: Does adaptive log/Merkle selection improve diff latency relative to a forced-Merkle ablation without changing correctness?</w:t>
      </w:r>
    </w:p>
    <w:p>
      <w:pPr>
        <w:pStyle w:val="ListBullet"/>
        <w:widowControl/>
        <w:spacing w:line="360" w:lineRule="auto"/>
      </w:pPr>
      <w:r>
        <w:rPr>
          <w:rFonts w:ascii="Times New Roman" w:hAnsi="Times New Roman" w:eastAsia="Times New Roman" w:cs="Times New Roman"/>
          <w:color w:val="000000"/>
          <w:sz w:val="24"/>
        </w:rPr>
        <w:t>RQ3: How sensitive are fixed-trie latency, storage, and examined work to branching factor and depth?</w:t>
      </w:r>
    </w:p>
    <w:p>
      <w:pPr>
        <w:pStyle w:val="Heading2"/>
        <w:keepNext/>
        <w:widowControl/>
        <w:spacing w:line="360" w:lineRule="auto"/>
      </w:pPr>
      <w:r>
        <w:rPr>
          <w:rFonts w:ascii="Times New Roman" w:hAnsi="Times New Roman" w:eastAsia="Times New Roman" w:cs="Times New Roman"/>
          <w:color w:val="000000"/>
          <w:sz w:val="24"/>
        </w:rPr>
        <w:t>B. Contributions</w:t>
      </w:r>
    </w:p>
    <w:p>
      <w:pPr>
        <w:pStyle w:val="ListBullet"/>
        <w:widowControl/>
        <w:spacing w:line="360" w:lineRule="auto"/>
      </w:pPr>
      <w:r>
        <w:rPr>
          <w:rFonts w:ascii="Times New Roman" w:hAnsi="Times New Roman" w:eastAsia="Times New Roman" w:cs="Times New Roman"/>
          <w:color w:val="000000"/>
          <w:sz w:val="24"/>
        </w:rPr>
        <w:t>A canonical SHA-256-addressed fixed-depth trie with incremental multi-key path rewriting.</w:t>
      </w:r>
    </w:p>
    <w:p>
      <w:pPr>
        <w:pStyle w:val="ListBullet"/>
        <w:widowControl/>
        <w:spacing w:line="360" w:lineRule="auto"/>
      </w:pPr>
      <w:r>
        <w:rPr>
          <w:rFonts w:ascii="Times New Roman" w:hAnsi="Times New Roman" w:eastAsia="Times New Roman" w:cs="Times New Roman"/>
          <w:color w:val="000000"/>
          <w:sz w:val="24"/>
        </w:rPr>
        <w:t>A hybrid diff policy combining addressed changesets with hash-pruned tree comparison.</w:t>
      </w:r>
    </w:p>
    <w:p>
      <w:pPr>
        <w:pStyle w:val="ListBullet"/>
        <w:widowControl/>
        <w:spacing w:line="360" w:lineRule="auto"/>
      </w:pPr>
      <w:r>
        <w:rPr>
          <w:rFonts w:ascii="Times New Roman" w:hAnsi="Times New Roman" w:eastAsia="Times New Roman" w:cs="Times New Roman"/>
          <w:color w:val="000000"/>
          <w:sz w:val="24"/>
        </w:rPr>
        <w:t>An atomic SQLite repository that persists objects, commits, aliases, metrics, and HEAD and verifies hashes after reopen.</w:t>
      </w:r>
    </w:p>
    <w:p>
      <w:pPr>
        <w:pStyle w:val="ListBullet"/>
        <w:widowControl/>
        <w:spacing w:line="360" w:lineRule="auto"/>
      </w:pPr>
      <w:r>
        <w:rPr>
          <w:rFonts w:ascii="Times New Roman" w:hAnsi="Times New Roman" w:eastAsia="Times New Roman" w:cs="Times New Roman"/>
          <w:color w:val="000000"/>
          <w:sz w:val="24"/>
        </w:rPr>
        <w:t>A five-variant benchmark with shared deterministic workloads, correctness oracles, Dolt integration, raw evidence, and an independently audited summary.</w:t>
      </w:r>
    </w:p>
    <w:p>
      <w:pPr>
        <w:pStyle w:val="ListBullet"/>
        <w:widowControl/>
        <w:spacing w:line="360" w:lineRule="auto"/>
      </w:pPr>
      <w:r>
        <w:rPr>
          <w:rFonts w:ascii="Times New Roman" w:hAnsi="Times New Roman" w:eastAsia="Times New Roman" w:cs="Times New Roman"/>
          <w:color w:val="000000"/>
          <w:sz w:val="24"/>
        </w:rPr>
        <w:t>A controlled branching-factor/depth sensitivity study that prevents treating b=8, d=4 as universally optimal.</w:t>
      </w:r>
    </w:p>
    <w:p>
      <w:pPr>
        <w:pStyle w:val="Heading1"/>
        <w:keepNext/>
        <w:widowControl/>
        <w:spacing w:line="360" w:lineRule="auto"/>
      </w:pPr>
      <w:r>
        <w:rPr>
          <w:rFonts w:ascii="Times New Roman" w:hAnsi="Times New Roman" w:eastAsia="Times New Roman" w:cs="Times New Roman"/>
          <w:smallCaps/>
          <w:color w:val="000000"/>
          <w:sz w:val="24"/>
        </w:rPr>
        <w:t>II. LITERATURE REVIEW AND RELATED WORK</w:t>
      </w:r>
    </w:p>
    <w:p>
      <w:pPr>
        <w:widowControl/>
        <w:spacing w:after="30" w:line="360" w:lineRule="auto"/>
        <w:ind w:firstLine="0"/>
        <w:jc w:val="both"/>
      </w:pPr>
      <w:r>
        <w:rPr>
          <w:rFonts w:ascii="Times New Roman" w:hAnsi="Times New Roman" w:eastAsia="Times New Roman" w:cs="Times New Roman"/>
          <w:color w:val="000000"/>
          <w:sz w:val="24"/>
        </w:rPr>
        <w:t>Merkle's authenticated tree construction established that a compact root digest can commit to a larger collection [1]. Git applies content-addressed blobs, trees, and commits to software history [2]. Chronos adopts immutable object identity and parent links, but routes structured keys by hash into a persistent trie rather than mirroring a filesystem hierarchy.</w:t>
      </w:r>
    </w:p>
    <w:p>
      <w:pPr>
        <w:widowControl/>
        <w:spacing w:after="30" w:line="360" w:lineRule="auto"/>
        <w:ind w:firstLine="202"/>
        <w:jc w:val="both"/>
      </w:pPr>
      <w:r>
        <w:rPr>
          <w:rFonts w:ascii="Times New Roman" w:hAnsi="Times New Roman" w:eastAsia="Times New Roman" w:cs="Times New Roman"/>
          <w:color w:val="000000"/>
          <w:sz w:val="24"/>
        </w:rPr>
        <w:t>Dataset-versioning research exposes a broader storage-retrieval design space. DataHub motivates collaborative dataset history at scale [5]. Decibel integrates branching into a relational storage engine and compares version-first, tuple-first, and hybrid layouts [6]. OrpheusDB bolts versioning onto a conventional DBMS and optimizes partitioning for version retrieval [7]. Bhattacherjee et al. formalize the conflict between storing more materialized state and paying more reconstruction cost [8]. These systems motivate reporting commit, checkout, diff, and storage together rather than selecting a single metric.</w:t>
      </w:r>
    </w:p>
    <w:p>
      <w:pPr>
        <w:widowControl/>
        <w:spacing w:after="30" w:line="360" w:lineRule="auto"/>
        <w:ind w:firstLine="202"/>
        <w:jc w:val="both"/>
      </w:pPr>
      <w:r>
        <w:rPr>
          <w:rFonts w:ascii="Times New Roman" w:hAnsi="Times New Roman" w:eastAsia="Times New Roman" w:cs="Times New Roman"/>
          <w:color w:val="000000"/>
          <w:sz w:val="24"/>
        </w:rPr>
        <w:t>Noms represents structured data as a Merkle DAG of immutable chunks and supports efficient diff and synchronization [9]. ForkBase combines content addressing, fork semantics, and duplicate-content detection for forkable applications [10]. Dolt stores table indexes as content-addressed Prolly Trees: ordered, B-tree-like structures with history-independent chunk boundaries, structural sharing, and native diff [3], [4]. Chronos differs by using fixed-depth hash routing and by exposing an explicit alternative operation-log path. This simplifies instrumentation, but gives up Dolt's ordered range behavior, SQL surface, mature branching, merging, and production engineering.</w:t>
      </w:r>
    </w:p>
    <w:p>
      <w:pPr>
        <w:pStyle w:val="Caption"/>
        <w:keepNext/>
        <w:widowControl/>
        <w:spacing w:line="360" w:lineRule="auto"/>
      </w:pPr>
      <w:r>
        <w:rPr>
          <w:rFonts w:ascii="Times New Roman" w:hAnsi="Times New Roman" w:eastAsia="Times New Roman" w:cs="Times New Roman"/>
          <w:color w:val="000000"/>
          <w:sz w:val="24"/>
        </w:rPr>
        <w:t>TABLE I. Literature-review matrix and the gap addressed by Chronos.</w:t>
      </w:r>
    </w:p>
    <w:tbl>
      <w:tblPr>
        <w:tblW w:type="dxa" w:w="5040"/>
        <w:jc w:val="left"/>
        <w:tblLayout w:type="fixed"/>
        <w:tblLook w:firstColumn="1" w:firstRow="1" w:lastColumn="0" w:lastRow="0" w:noHBand="0" w:noVBand="1" w:val="04A0"/>
        <w:tblInd w:type="dxa" w:w="55"/>
      </w:tblPr>
      <w:tblGrid>
        <w:gridCol w:w="1224"/>
        <w:gridCol w:w="1728"/>
        <w:gridCol w:w="2088"/>
      </w:tblGrid>
      <w:tr>
        <w:trPr>
          <w:cantSplit/>
          <w:tblHeader w:val="true"/>
        </w:trPr>
        <w:tc>
          <w:tcPr>
            <w:tcW w:type="dxa" w:w="1224"/>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Prior work</w:t>
            </w:r>
          </w:p>
        </w:tc>
        <w:tc>
          <w:tcPr>
            <w:tcW w:type="dxa" w:w="1728"/>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Core representation</w:t>
            </w:r>
          </w:p>
        </w:tc>
        <w:tc>
          <w:tcPr>
            <w:tcW w:type="dxa" w:w="2088"/>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Relationship to Chronos</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Git [2]</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Object DAG</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Identity and commit ancestry; file-oriented</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DataHub [5]</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Version graph</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Collaborative dataset motivation</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Decibel [6]</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Relational layouts</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Native database branching</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OrpheusDB [7]</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Partitioned versions</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Storage/retrieval optimization</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Noms [9]</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Merkle DAG</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Structured content addressing</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ForkBase [10]</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Forkable CAS</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Fork and deduplication semantics</w:t>
            </w:r>
          </w:p>
        </w:tc>
      </w:tr>
      <w:tr>
        <w:trPr>
          <w:cantSplit/>
        </w:trPr>
        <w:tc>
          <w:tcPr>
            <w:tcW w:type="dxa" w:w="122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Dolt [3], [4]</w:t>
            </w:r>
          </w:p>
        </w:tc>
        <w:tc>
          <w:tcPr>
            <w:tcW w:type="dxa" w:w="172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Prolly Trees</w:t>
            </w:r>
          </w:p>
        </w:tc>
        <w:tc>
          <w:tcPr>
            <w:tcW w:type="dxa" w:w="208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Production SOTA comparator</w:t>
            </w:r>
          </w:p>
        </w:tc>
      </w:tr>
    </w:tbl>
    <w:p>
      <w:pPr>
        <w:widowControl/>
        <w:spacing w:after="0" w:line="360" w:lineRule="auto"/>
        <w:ind w:firstLine="0"/>
      </w:pPr>
    </w:p>
    <w:p>
      <w:pPr>
        <w:pStyle w:val="Heading1"/>
        <w:keepNext/>
        <w:widowControl/>
        <w:spacing w:line="360" w:lineRule="auto"/>
      </w:pPr>
      <w:r>
        <w:rPr>
          <w:rFonts w:ascii="Times New Roman" w:hAnsi="Times New Roman" w:eastAsia="Times New Roman" w:cs="Times New Roman"/>
          <w:smallCaps/>
          <w:color w:val="000000"/>
          <w:sz w:val="24"/>
        </w:rPr>
        <w:t>III. CHRONOS DESIGN</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850746"/>
            <wp:docPr id="1" name="Picture 1" descr="Chronos layered architecture showing the frontend, REST API, Chronos-H core, SQLite object store, and the research contribution boundary." title="Chronos layered architecture showing the frontend, REST API, Chronos-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154680" cy="1850746"/>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1. Chronos architecture and research contribution boundary.</w:t>
      </w:r>
    </w:p>
    <w:p>
      <w:pPr>
        <w:pStyle w:val="Heading2"/>
        <w:keepNext/>
        <w:widowControl/>
        <w:spacing w:line="360" w:lineRule="auto"/>
      </w:pPr>
      <w:r>
        <w:rPr>
          <w:rFonts w:ascii="Times New Roman" w:hAnsi="Times New Roman" w:eastAsia="Times New Roman" w:cs="Times New Roman"/>
          <w:color w:val="000000"/>
          <w:sz w:val="24"/>
        </w:rPr>
        <w:t>A. Addressed Object Model</w:t>
      </w:r>
    </w:p>
    <w:p>
      <w:pPr>
        <w:widowControl/>
        <w:spacing w:after="30" w:line="360" w:lineRule="auto"/>
        <w:ind w:firstLine="0"/>
        <w:jc w:val="both"/>
      </w:pPr>
      <w:r>
        <w:rPr>
          <w:rFonts w:ascii="Times New Roman" w:hAnsi="Times New Roman" w:eastAsia="Times New Roman" w:cs="Times New Roman"/>
          <w:color w:val="000000"/>
          <w:sz w:val="24"/>
        </w:rPr>
        <w:t>Trie nodes and changesets are identified by SHA-256 over canonical JSON. A commit hash covers the root, parent, changeset, message, and timestamp. Sequential aliases v1, v2, and so on improve usability but are not content identities. HEAD is a named durable reference to the latest commit.</w:t>
      </w:r>
    </w:p>
    <w:p>
      <w:pPr>
        <w:pStyle w:val="Heading2"/>
        <w:keepNext/>
        <w:widowControl/>
        <w:spacing w:line="360" w:lineRule="auto"/>
      </w:pPr>
      <w:r>
        <w:rPr>
          <w:rFonts w:ascii="Times New Roman" w:hAnsi="Times New Roman" w:eastAsia="Times New Roman" w:cs="Times New Roman"/>
          <w:color w:val="000000"/>
          <w:sz w:val="24"/>
        </w:rPr>
        <w:t>B. Fixed-Depth Merkle Hash Trie</w:t>
      </w:r>
    </w:p>
    <w:p>
      <w:pPr>
        <w:widowControl/>
        <w:spacing w:after="30" w:line="360" w:lineRule="auto"/>
        <w:ind w:firstLine="202"/>
        <w:jc w:val="both"/>
      </w:pPr>
      <w:r>
        <w:rPr>
          <w:rFonts w:ascii="Times New Roman" w:hAnsi="Times New Roman" w:eastAsia="Times New Roman" w:cs="Times New Roman"/>
          <w:color w:val="000000"/>
          <w:sz w:val="24"/>
        </w:rPr>
        <w:t>The evaluated default has branching factor b=8 and depth d=4. SHA-256(key) contributes three routing bits per level, producing 4,096 possible leaf buckets after twelve bits. Full keys remain in leaves, so routing-prefix collisions do not affect correctness. Expected occupancy under uniform routing is N/b^d, but the sensitivity study treats the geometry as a tunable design choice.</w:t>
      </w:r>
    </w:p>
    <w:p>
      <w:pPr>
        <w:pStyle w:val="Heading2"/>
        <w:keepNext/>
        <w:widowControl/>
        <w:spacing w:line="360" w:lineRule="auto"/>
      </w:pPr>
      <w:r>
        <w:rPr>
          <w:rFonts w:ascii="Times New Roman" w:hAnsi="Times New Roman" w:eastAsia="Times New Roman" w:cs="Times New Roman"/>
          <w:color w:val="000000"/>
          <w:sz w:val="24"/>
        </w:rPr>
        <w:t>C. Incremental Hashing and Commit</w:t>
      </w:r>
    </w:p>
    <w:p>
      <w:pPr>
        <w:widowControl/>
        <w:spacing w:after="30" w:line="360" w:lineRule="auto"/>
        <w:ind w:firstLine="202"/>
        <w:jc w:val="both"/>
      </w:pPr>
      <w:r>
        <w:rPr>
          <w:rFonts w:ascii="Times New Roman" w:hAnsi="Times New Roman" w:eastAsia="Times New Roman" w:cs="Times New Roman"/>
          <w:color w:val="000000"/>
          <w:sz w:val="24"/>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640434"/>
            <wp:docPr id="2" name="Picture 2" descr="Incremental commit workflow followed by Chronos-H selection between addressed changeset aggregation and hash-pruned Merkle comparison." title="Incremental commit workflow followed by Chronos-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3154680" cy="1640434"/>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2. Incremental commit path and adaptive diff decision.</w:t>
      </w:r>
    </w:p>
    <w:p>
      <w:pPr>
        <w:pStyle w:val="Heading2"/>
        <w:keepNext/>
        <w:widowControl/>
        <w:spacing w:line="360" w:lineRule="auto"/>
      </w:pPr>
      <w:r>
        <w:rPr>
          <w:rFonts w:ascii="Times New Roman" w:hAnsi="Times New Roman" w:eastAsia="Times New Roman" w:cs="Times New Roman"/>
          <w:color w:val="000000"/>
          <w:sz w:val="24"/>
        </w:rPr>
        <w:t>D. Hybrid Diff</w:t>
      </w:r>
    </w:p>
    <w:p>
      <w:pPr>
        <w:widowControl/>
        <w:spacing w:after="30" w:line="360" w:lineRule="auto"/>
        <w:ind w:firstLine="202"/>
        <w:jc w:val="both"/>
      </w:pPr>
      <w:r>
        <w:rPr>
          <w:rFonts w:ascii="Times New Roman" w:hAnsi="Times New Roman" w:eastAsia="Times New Roman" w:cs="Times New Roman"/>
          <w:color w:val="000000"/>
          <w:sz w:val="24"/>
        </w:rPr>
        <w:t>The log path walks the ancestor chain and aggregates key operations. The Merkle path recursively compares roots, prunes equal subtree hashes, and examines full leaf entries only below unequal paths. Chronos-H counts accumulated ancestor operations and uses the log at or below 4,096 operations; it uses Merkle above that boundary. Chronos-M forces the Merkle path and therefore serves only as an ablation.</w:t>
      </w:r>
    </w:p>
    <w:p>
      <w:pPr>
        <w:pStyle w:val="Heading1"/>
        <w:keepNext/>
        <w:widowControl/>
        <w:spacing w:line="360" w:lineRule="auto"/>
      </w:pPr>
      <w:r>
        <w:rPr>
          <w:rFonts w:ascii="Times New Roman" w:hAnsi="Times New Roman" w:eastAsia="Times New Roman" w:cs="Times New Roman"/>
          <w:smallCaps/>
          <w:color w:val="000000"/>
          <w:sz w:val="24"/>
        </w:rPr>
        <w:t>IV. EXPERIMENTAL METHODOLOGY</w:t>
      </w:r>
    </w:p>
    <w:p>
      <w:pPr>
        <w:pStyle w:val="Heading2"/>
        <w:keepNext/>
        <w:widowControl/>
        <w:spacing w:line="360" w:lineRule="auto"/>
      </w:pPr>
      <w:r>
        <w:rPr>
          <w:rFonts w:ascii="Times New Roman" w:hAnsi="Times New Roman" w:eastAsia="Times New Roman" w:cs="Times New Roman"/>
          <w:color w:val="000000"/>
          <w:sz w:val="24"/>
        </w:rPr>
        <w:t>A. Variants and Workloads</w:t>
      </w:r>
    </w:p>
    <w:p>
      <w:pPr>
        <w:widowControl/>
        <w:spacing w:after="30" w:line="360" w:lineRule="auto"/>
        <w:ind w:firstLine="0"/>
        <w:jc w:val="both"/>
      </w:pPr>
      <w:r>
        <w:rPr>
          <w:rFonts w:ascii="Times New Roman" w:hAnsi="Times New Roman" w:eastAsia="Times New Roman" w:cs="Times New Roman"/>
          <w:color w:val="000000"/>
          <w:sz w:val="24"/>
        </w:rPr>
        <w:t>Five implementations receive identical logical states and mutation batches: a complete Snapshot per version, an initial state plus operation-log baseline, forced-Merkle Chronos-M, adaptive Chronos-H, and Dolt 2.3.1 using a keyed SQL table and native diff. Chronos-M is not a headline product variant; it isolates the selector.</w:t>
      </w:r>
    </w:p>
    <w:p>
      <w:pPr>
        <w:pStyle w:val="Caption"/>
        <w:keepNext/>
        <w:widowControl/>
        <w:spacing w:line="360" w:lineRule="auto"/>
      </w:pPr>
      <w:r>
        <w:rPr>
          <w:rFonts w:ascii="Times New Roman" w:hAnsi="Times New Roman" w:eastAsia="Times New Roman" w:cs="Times New Roman"/>
          <w:color w:val="000000"/>
          <w:sz w:val="24"/>
        </w:rPr>
        <w:t>TABLE II. Final evaluation workload matrix.</w:t>
      </w:r>
    </w:p>
    <w:tbl>
      <w:tblPr>
        <w:tblW w:type="dxa" w:w="5040"/>
        <w:jc w:val="left"/>
        <w:tblLayout w:type="fixed"/>
        <w:tblLook w:firstColumn="1" w:firstRow="1" w:lastColumn="0" w:lastRow="0" w:noHBand="0" w:noVBand="1" w:val="04A0"/>
        <w:tblInd w:type="dxa" w:w="55"/>
      </w:tblPr>
      <w:tblGrid>
        <w:gridCol w:w="1368"/>
        <w:gridCol w:w="855"/>
        <w:gridCol w:w="821"/>
        <w:gridCol w:w="969"/>
        <w:gridCol w:w="1027"/>
      </w:tblGrid>
      <w:tr>
        <w:trPr>
          <w:cantSplit/>
          <w:tblHeader w:val="true"/>
        </w:trPr>
        <w:tc>
          <w:tcPr>
            <w:tcW w:type="dxa" w:w="1368"/>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Scenario</w:t>
            </w:r>
          </w:p>
        </w:tc>
        <w:tc>
          <w:tcPr>
            <w:tcW w:type="dxa" w:w="855"/>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Rows</w:t>
            </w:r>
          </w:p>
        </w:tc>
        <w:tc>
          <w:tcPr>
            <w:tcW w:type="dxa" w:w="821"/>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Commits</w:t>
            </w:r>
          </w:p>
        </w:tc>
        <w:tc>
          <w:tcPr>
            <w:tcW w:type="dxa" w:w="969"/>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Changes</w:t>
            </w:r>
          </w:p>
        </w:tc>
        <w:tc>
          <w:tcPr>
            <w:tcW w:type="dxa" w:w="1027"/>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Locality</w:t>
            </w:r>
          </w:p>
        </w:tc>
      </w:tr>
      <w:tr>
        <w:trPr>
          <w:cantSplit/>
        </w:trPr>
        <w:tc>
          <w:tcPr>
            <w:tcW w:type="dxa" w:w="136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Small sparse</w:t>
            </w:r>
          </w:p>
        </w:tc>
        <w:tc>
          <w:tcPr>
            <w:tcW w:type="dxa" w:w="855"/>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w:t>
            </w:r>
          </w:p>
        </w:tc>
        <w:tc>
          <w:tcPr>
            <w:tcW w:type="dxa" w:w="821"/>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969"/>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1027"/>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spread</w:t>
            </w:r>
          </w:p>
        </w:tc>
      </w:tr>
      <w:tr>
        <w:trPr>
          <w:cantSplit/>
        </w:trPr>
        <w:tc>
          <w:tcPr>
            <w:tcW w:type="dxa" w:w="136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Medium sparse</w:t>
            </w:r>
          </w:p>
        </w:tc>
        <w:tc>
          <w:tcPr>
            <w:tcW w:type="dxa" w:w="855"/>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10,000</w:t>
            </w:r>
          </w:p>
        </w:tc>
        <w:tc>
          <w:tcPr>
            <w:tcW w:type="dxa" w:w="821"/>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969"/>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1027"/>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spread</w:t>
            </w:r>
          </w:p>
        </w:tc>
      </w:tr>
      <w:tr>
        <w:trPr>
          <w:cantSplit/>
        </w:trPr>
        <w:tc>
          <w:tcPr>
            <w:tcW w:type="dxa" w:w="136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Medium dense</w:t>
            </w:r>
          </w:p>
        </w:tc>
        <w:tc>
          <w:tcPr>
            <w:tcW w:type="dxa" w:w="855"/>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10,000</w:t>
            </w:r>
          </w:p>
        </w:tc>
        <w:tc>
          <w:tcPr>
            <w:tcW w:type="dxa" w:w="821"/>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969"/>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w:t>
            </w:r>
          </w:p>
        </w:tc>
        <w:tc>
          <w:tcPr>
            <w:tcW w:type="dxa" w:w="1027"/>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spread</w:t>
            </w:r>
          </w:p>
        </w:tc>
      </w:tr>
      <w:tr>
        <w:trPr>
          <w:cantSplit/>
        </w:trPr>
        <w:tc>
          <w:tcPr>
            <w:tcW w:type="dxa" w:w="136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Large sparse</w:t>
            </w:r>
          </w:p>
        </w:tc>
        <w:tc>
          <w:tcPr>
            <w:tcW w:type="dxa" w:w="855"/>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100,000</w:t>
            </w:r>
          </w:p>
        </w:tc>
        <w:tc>
          <w:tcPr>
            <w:tcW w:type="dxa" w:w="821"/>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969"/>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w:t>
            </w:r>
          </w:p>
        </w:tc>
        <w:tc>
          <w:tcPr>
            <w:tcW w:type="dxa" w:w="1027"/>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spread</w:t>
            </w:r>
          </w:p>
        </w:tc>
      </w:tr>
      <w:tr>
        <w:trPr>
          <w:cantSplit/>
        </w:trPr>
        <w:tc>
          <w:tcPr>
            <w:tcW w:type="dxa" w:w="1368"/>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Large hot</w:t>
            </w:r>
          </w:p>
        </w:tc>
        <w:tc>
          <w:tcPr>
            <w:tcW w:type="dxa" w:w="855"/>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100,000</w:t>
            </w:r>
          </w:p>
        </w:tc>
        <w:tc>
          <w:tcPr>
            <w:tcW w:type="dxa" w:w="821"/>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w:t>
            </w:r>
          </w:p>
        </w:tc>
        <w:tc>
          <w:tcPr>
            <w:tcW w:type="dxa" w:w="969"/>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100</w:t>
            </w:r>
          </w:p>
        </w:tc>
        <w:tc>
          <w:tcPr>
            <w:tcW w:type="dxa" w:w="1027"/>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hot</w:t>
            </w:r>
          </w:p>
        </w:tc>
      </w:tr>
    </w:tbl>
    <w:p>
      <w:pPr>
        <w:widowControl/>
        <w:spacing w:after="0" w:line="360" w:lineRule="auto"/>
        <w:ind w:firstLine="0"/>
      </w:pPr>
    </w:p>
    <w:p>
      <w:pPr>
        <w:pStyle w:val="Heading2"/>
        <w:keepNext/>
        <w:widowControl/>
        <w:spacing w:line="360" w:lineRule="auto"/>
      </w:pPr>
      <w:r>
        <w:rPr>
          <w:rFonts w:ascii="Times New Roman" w:hAnsi="Times New Roman" w:eastAsia="Times New Roman" w:cs="Times New Roman"/>
          <w:color w:val="000000"/>
          <w:sz w:val="24"/>
        </w:rPr>
        <w:t>B. Measurement Contract</w:t>
      </w:r>
    </w:p>
    <w:p>
      <w:pPr>
        <w:widowControl/>
        <w:spacing w:after="30" w:line="360" w:lineRule="auto"/>
        <w:ind w:firstLine="202"/>
        <w:jc w:val="both"/>
      </w:pPr>
      <w:r>
        <w:rPr>
          <w:rFonts w:ascii="Times New Roman" w:hAnsi="Times New Roman" w:eastAsia="Times New Roman" w:cs="Times New Roman"/>
          <w:color w:val="000000"/>
          <w:sz w:val="24"/>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spacing w:line="360" w:lineRule="auto"/>
      </w:pPr>
      <w:r>
        <w:rPr>
          <w:rFonts w:ascii="Times New Roman" w:hAnsi="Times New Roman" w:eastAsia="Times New Roman" w:cs="Times New Roman"/>
          <w:color w:val="000000"/>
          <w:sz w:val="24"/>
        </w:rPr>
        <w:t>C. Repetition, Calibration, and Integrity</w:t>
      </w:r>
    </w:p>
    <w:p>
      <w:pPr>
        <w:widowControl/>
        <w:spacing w:after="30" w:line="360" w:lineRule="auto"/>
        <w:ind w:firstLine="202"/>
        <w:jc w:val="both"/>
      </w:pPr>
      <w:r>
        <w:rPr>
          <w:rFonts w:ascii="Times New Roman" w:hAnsi="Times New Roman" w:eastAsia="Times New Roman" w:cs="Times New Roman"/>
          <w:color w:val="000000"/>
          <w:sz w:val="24"/>
        </w:rPr>
        <w:t>The paper run uses two warmups and seven measured trials with base seed 20260822. Every adapter receives a regenerated workload whose SHA-256 must match the manifest. Calibration workloads are disjoint from evaluation. Medians, 25th percentiles, and 75th percentiles exclude warmups. Run 7048cc1674dc4038a8e42c87818b9088 was executed on Windows-11-10.0.26200-SP0 with Python 3.14.3. An independent audit reconstructed the expected trial matrix and every summary statistic.</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774508"/>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3"/>
                    <a:stretch>
                      <a:fillRect/>
                    </a:stretch>
                  </pic:blipFill>
                  <pic:spPr>
                    <a:xfrm>
                      <a:off x="0" y="0"/>
                      <a:ext cx="3154680" cy="1774508"/>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3. Independent threshold calibration; 4,096 is the largest sampled log-favorable point.</w:t>
      </w:r>
    </w:p>
    <w:p>
      <w:pPr>
        <w:widowControl/>
        <w:spacing w:after="30" w:line="360" w:lineRule="auto"/>
        <w:ind w:firstLine="202"/>
        <w:jc w:val="both"/>
      </w:pPr>
      <w:r>
        <w:rPr>
          <w:rFonts w:ascii="Times New Roman" w:hAnsi="Times New Roman" w:eastAsia="Times New Roman" w:cs="Times New Roman"/>
          <w:color w:val="000000"/>
          <w:sz w:val="24"/>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spacing w:line="360" w:lineRule="auto"/>
      </w:pPr>
      <w:r>
        <w:rPr>
          <w:rFonts w:ascii="Times New Roman" w:hAnsi="Times New Roman" w:eastAsia="Times New Roman" w:cs="Times New Roman"/>
          <w:smallCaps/>
          <w:color w:val="000000"/>
          <w:sz w:val="24"/>
        </w:rPr>
        <w:t>V. RESULTS</w:t>
      </w:r>
    </w:p>
    <w:p>
      <w:pPr>
        <w:pStyle w:val="Heading2"/>
        <w:keepNext/>
        <w:widowControl/>
        <w:spacing w:line="360" w:lineRule="auto"/>
      </w:pPr>
      <w:r>
        <w:rPr>
          <w:rFonts w:ascii="Times New Roman" w:hAnsi="Times New Roman" w:eastAsia="Times New Roman" w:cs="Times New Roman"/>
          <w:color w:val="000000"/>
          <w:sz w:val="24"/>
        </w:rPr>
        <w:t>A. Final Diff Performance</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793187"/>
            <wp:docPr id="4" name="Picture 4" descr="Log-scale grouped bar chart of final median diff latency with interquartile whiskers for Snapshot, Log-only, Chronos-M, Chronos-H, and Dolt across five workloads." title="Log-scale grouped bar chart of final median diff latency with interquartile whiskers for Snapshot, Log-only, Chronos-M, Chronos-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4"/>
                    <a:stretch>
                      <a:fillRect/>
                    </a:stretch>
                  </pic:blipFill>
                  <pic:spPr>
                    <a:xfrm>
                      <a:off x="0" y="0"/>
                      <a:ext cx="3154680" cy="1793187"/>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4. Final diff latency from the audited CSV bundle; lower is better.</w:t>
      </w:r>
    </w:p>
    <w:p>
      <w:pPr>
        <w:pStyle w:val="Caption"/>
        <w:keepNext/>
        <w:widowControl/>
        <w:spacing w:line="360" w:lineRule="auto"/>
      </w:pPr>
      <w:r>
        <w:rPr>
          <w:rFonts w:ascii="Times New Roman" w:hAnsi="Times New Roman" w:eastAsia="Times New Roman" w:cs="Times New Roman"/>
          <w:color w:val="000000"/>
          <w:sz w:val="24"/>
        </w:rPr>
        <w:t>TABLE III. Chronos-H versus Dolt median diff latency.</w:t>
      </w:r>
    </w:p>
    <w:tbl>
      <w:tblPr>
        <w:tblW w:type="dxa" w:w="5040"/>
        <w:jc w:val="left"/>
        <w:tblLayout w:type="fixed"/>
        <w:tblLook w:firstColumn="1" w:firstRow="1" w:lastColumn="0" w:lastRow="0" w:noHBand="0" w:noVBand="1" w:val="04A0"/>
        <w:tblInd w:type="dxa" w:w="55"/>
      </w:tblPr>
      <w:tblGrid>
        <w:gridCol w:w="1500"/>
        <w:gridCol w:w="840"/>
        <w:gridCol w:w="864"/>
        <w:gridCol w:w="1020"/>
        <w:gridCol w:w="816"/>
      </w:tblGrid>
      <w:tr>
        <w:trPr>
          <w:cantSplit/>
          <w:tblHeader w:val="true"/>
        </w:trPr>
        <w:tc>
          <w:tcPr>
            <w:tcW w:type="dxa" w:w="1500"/>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Scenario</w:t>
            </w:r>
          </w:p>
        </w:tc>
        <w:tc>
          <w:tcPr>
            <w:tcW w:type="dxa" w:w="840"/>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Path</w:t>
            </w:r>
          </w:p>
        </w:tc>
        <w:tc>
          <w:tcPr>
            <w:tcW w:type="dxa" w:w="864"/>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H ms</w:t>
            </w:r>
          </w:p>
        </w:tc>
        <w:tc>
          <w:tcPr>
            <w:tcW w:type="dxa" w:w="1020"/>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Dolt ms</w:t>
            </w:r>
          </w:p>
        </w:tc>
        <w:tc>
          <w:tcPr>
            <w:tcW w:type="dxa" w:w="816"/>
            <w:shd w:fill="FFFFFF"/>
            <w:tcBorders>
              <w:top w:val="single" w:sz="6" w:color="888888"/>
              <w:left w:val="single" w:sz="6" w:color="888888"/>
              <w:bottom w:val="single" w:sz="6" w:color="888888"/>
              <w:right w:val="single" w:sz="6" w:color="888888"/>
              <w:insideH w:val="single" w:sz="6" w:color="888888"/>
              <w:insideV w:val="single" w:sz="6" w:color="888888"/>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b/>
                <w:color w:val="000000"/>
                <w:sz w:val="24"/>
              </w:rPr>
              <w:t>Ratio</w:t>
            </w:r>
          </w:p>
        </w:tc>
      </w:tr>
      <w:tr>
        <w:trPr>
          <w:cantSplit/>
        </w:trPr>
        <w:tc>
          <w:tcPr>
            <w:tcW w:type="dxa" w:w="150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Small sparse</w:t>
            </w:r>
          </w:p>
        </w:tc>
        <w:tc>
          <w:tcPr>
            <w:tcW w:type="dxa" w:w="84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log</w:t>
            </w:r>
          </w:p>
        </w:tc>
        <w:tc>
          <w:tcPr>
            <w:tcW w:type="dxa" w:w="86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0.417</w:t>
            </w:r>
          </w:p>
        </w:tc>
        <w:tc>
          <w:tcPr>
            <w:tcW w:type="dxa" w:w="102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188.91</w:t>
            </w:r>
          </w:p>
        </w:tc>
        <w:tc>
          <w:tcPr>
            <w:tcW w:type="dxa" w:w="816"/>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453.3x</w:t>
            </w:r>
          </w:p>
        </w:tc>
      </w:tr>
      <w:tr>
        <w:trPr>
          <w:cantSplit/>
        </w:trPr>
        <w:tc>
          <w:tcPr>
            <w:tcW w:type="dxa" w:w="150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Medium sparse</w:t>
            </w:r>
          </w:p>
        </w:tc>
        <w:tc>
          <w:tcPr>
            <w:tcW w:type="dxa" w:w="84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log</w:t>
            </w:r>
          </w:p>
        </w:tc>
        <w:tc>
          <w:tcPr>
            <w:tcW w:type="dxa" w:w="86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0.553</w:t>
            </w:r>
          </w:p>
        </w:tc>
        <w:tc>
          <w:tcPr>
            <w:tcW w:type="dxa" w:w="102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306.47</w:t>
            </w:r>
          </w:p>
        </w:tc>
        <w:tc>
          <w:tcPr>
            <w:tcW w:type="dxa" w:w="816"/>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554.2x</w:t>
            </w:r>
          </w:p>
        </w:tc>
      </w:tr>
      <w:tr>
        <w:trPr>
          <w:cantSplit/>
        </w:trPr>
        <w:tc>
          <w:tcPr>
            <w:tcW w:type="dxa" w:w="150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Medium dense</w:t>
            </w:r>
          </w:p>
        </w:tc>
        <w:tc>
          <w:tcPr>
            <w:tcW w:type="dxa" w:w="84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merkle</w:t>
            </w:r>
          </w:p>
        </w:tc>
        <w:tc>
          <w:tcPr>
            <w:tcW w:type="dxa" w:w="86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56.496</w:t>
            </w:r>
          </w:p>
        </w:tc>
        <w:tc>
          <w:tcPr>
            <w:tcW w:type="dxa" w:w="102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326.01</w:t>
            </w:r>
          </w:p>
        </w:tc>
        <w:tc>
          <w:tcPr>
            <w:tcW w:type="dxa" w:w="816"/>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5.8x</w:t>
            </w:r>
          </w:p>
        </w:tc>
      </w:tr>
      <w:tr>
        <w:trPr>
          <w:cantSplit/>
        </w:trPr>
        <w:tc>
          <w:tcPr>
            <w:tcW w:type="dxa" w:w="150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Large sparse</w:t>
            </w:r>
          </w:p>
        </w:tc>
        <w:tc>
          <w:tcPr>
            <w:tcW w:type="dxa" w:w="84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log</w:t>
            </w:r>
          </w:p>
        </w:tc>
        <w:tc>
          <w:tcPr>
            <w:tcW w:type="dxa" w:w="86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3.082</w:t>
            </w:r>
          </w:p>
        </w:tc>
        <w:tc>
          <w:tcPr>
            <w:tcW w:type="dxa" w:w="102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180.77</w:t>
            </w:r>
          </w:p>
        </w:tc>
        <w:tc>
          <w:tcPr>
            <w:tcW w:type="dxa" w:w="816"/>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58.7x</w:t>
            </w:r>
          </w:p>
        </w:tc>
      </w:tr>
      <w:tr>
        <w:trPr>
          <w:cantSplit/>
        </w:trPr>
        <w:tc>
          <w:tcPr>
            <w:tcW w:type="dxa" w:w="150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left"/>
            </w:pPr>
            <w:r>
              <w:rPr>
                <w:rFonts w:ascii="Times New Roman" w:hAnsi="Times New Roman" w:eastAsia="Times New Roman" w:cs="Times New Roman"/>
                <w:color w:val="000000"/>
                <w:sz w:val="24"/>
              </w:rPr>
              <w:t>Large hot</w:t>
            </w:r>
          </w:p>
        </w:tc>
        <w:tc>
          <w:tcPr>
            <w:tcW w:type="dxa" w:w="84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log</w:t>
            </w:r>
          </w:p>
        </w:tc>
        <w:tc>
          <w:tcPr>
            <w:tcW w:type="dxa" w:w="864"/>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2.031</w:t>
            </w:r>
          </w:p>
        </w:tc>
        <w:tc>
          <w:tcPr>
            <w:tcW w:type="dxa" w:w="1020"/>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182.41</w:t>
            </w:r>
          </w:p>
        </w:tc>
        <w:tc>
          <w:tcPr>
            <w:tcW w:type="dxa" w:w="816"/>
            <w:tcBorders>
              <w:top w:val="single" w:sz="4" w:color="000000"/>
              <w:left w:val="single" w:sz="4" w:color="000000"/>
              <w:bottom w:val="single" w:sz="4" w:color="000000"/>
              <w:right w:val="single" w:sz="4" w:color="000000"/>
              <w:insideH w:val="single" w:sz="4" w:color="000000"/>
              <w:insideV w:val="single" w:sz="4" w:color="000000"/>
            </w:tcBorders>
            <w:tcMar>
              <w:top w:w="45" w:type="dxa"/>
              <w:start w:w="55" w:type="dxa"/>
              <w:bottom w:w="45" w:type="dxa"/>
              <w:end w:w="55" w:type="dxa"/>
            </w:tcMar>
            <w:vAlign w:val="center"/>
          </w:tcPr>
          <w:p>
            <w:pPr>
              <w:spacing w:after="0" w:line="360" w:lineRule="auto"/>
              <w:ind w:firstLine="0"/>
              <w:jc w:val="center"/>
            </w:pPr>
            <w:r>
              <w:rPr>
                <w:rFonts w:ascii="Times New Roman" w:hAnsi="Times New Roman" w:eastAsia="Times New Roman" w:cs="Times New Roman"/>
                <w:color w:val="000000"/>
                <w:sz w:val="24"/>
              </w:rPr>
              <w:t>89.8x</w:t>
            </w:r>
          </w:p>
        </w:tc>
      </w:tr>
    </w:tbl>
    <w:p>
      <w:pPr>
        <w:widowControl/>
        <w:spacing w:after="0" w:line="360" w:lineRule="auto"/>
        <w:ind w:firstLine="0"/>
      </w:pPr>
    </w:p>
    <w:p>
      <w:pPr>
        <w:widowControl/>
        <w:spacing w:after="30" w:line="360" w:lineRule="auto"/>
        <w:ind w:firstLine="202"/>
        <w:jc w:val="both"/>
      </w:pPr>
      <w:r>
        <w:rPr>
          <w:rFonts w:ascii="Times New Roman" w:hAnsi="Times New Roman" w:eastAsia="Times New Roman" w:cs="Times New Roman"/>
          <w:color w:val="000000"/>
          <w:sz w:val="24"/>
        </w:rPr>
        <w:t>Chronos-H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spacing w:line="360" w:lineRule="auto"/>
      </w:pPr>
      <w:r>
        <w:rPr>
          <w:rFonts w:ascii="Times New Roman" w:hAnsi="Times New Roman" w:eastAsia="Times New Roman" w:cs="Times New Roman"/>
          <w:color w:val="000000"/>
          <w:sz w:val="24"/>
        </w:rPr>
        <w:t>B. Hybrid Ablation</w:t>
      </w:r>
    </w:p>
    <w:p>
      <w:pPr>
        <w:widowControl/>
        <w:spacing w:after="30" w:line="360" w:lineRule="auto"/>
        <w:ind w:firstLine="202"/>
        <w:jc w:val="both"/>
      </w:pPr>
      <w:r>
        <w:rPr>
          <w:rFonts w:ascii="Times New Roman" w:hAnsi="Times New Roman" w:eastAsia="Times New Roman" w:cs="Times New Roman"/>
          <w:color w:val="000000"/>
          <w:sz w:val="24"/>
        </w:rPr>
        <w:t>For log-selected workloads, Chronos-H reduced median diff latency relative to forced-Merkle Chronos-M by 6.0x (small sparse), 8.7x (medium sparse), 8.8x (large sparse), and 10.0x (large hot). In medium-dense, both used Merkle and Chronos-H was within 7.3% of the forced variant. This supports the selector's intended mechanism without claiming that its threshold is hardware-independent.</w:t>
      </w:r>
    </w:p>
    <w:p>
      <w:pPr>
        <w:pStyle w:val="Heading2"/>
        <w:keepNext/>
        <w:widowControl/>
        <w:spacing w:line="360" w:lineRule="auto"/>
      </w:pPr>
      <w:r>
        <w:rPr>
          <w:rFonts w:ascii="Times New Roman" w:hAnsi="Times New Roman" w:eastAsia="Times New Roman" w:cs="Times New Roman"/>
          <w:color w:val="000000"/>
          <w:sz w:val="24"/>
        </w:rPr>
        <w:t>C. Commit, Checkout, and Storage</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627151"/>
            <wp:docPr id="5" name="Picture 5" descr="Two-panel log-scale chart comparing Chronos-H and Dolt median incremental commit and historical checkout latency with interquartile whiskers." title="Two-panel log-scale chart comparing Chronos-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5"/>
                    <a:stretch>
                      <a:fillRect/>
                    </a:stretch>
                  </pic:blipFill>
                  <pic:spPr>
                    <a:xfrm>
                      <a:off x="0" y="0"/>
                      <a:ext cx="3154680" cy="1627151"/>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5. Chronos-H and Dolt operational latency; lower is better.</w:t>
      </w:r>
    </w:p>
    <w:p>
      <w:pPr>
        <w:widowControl/>
        <w:spacing w:after="30" w:line="360" w:lineRule="auto"/>
        <w:ind w:firstLine="202"/>
        <w:jc w:val="both"/>
      </w:pPr>
      <w:r>
        <w:rPr>
          <w:rFonts w:ascii="Times New Roman" w:hAnsi="Times New Roman" w:eastAsia="Times New Roman" w:cs="Times New Roman"/>
          <w:color w:val="000000"/>
          <w:sz w:val="24"/>
        </w:rPr>
        <w:t>Chronos-H incremental commit medians were 2.3x to 37.4x lower than Dolt, and checkout medians were 35.8x to 123.4x lower. Initial import was mixed: Chronos-H was 4.9x faster for small sparse and 1.14x faster for medium sparse, approximately tied for medium dense, and 2.73x to 2.79x slower at 100,000 rows. The latency advantage is therefore not uniform.</w:t>
      </w:r>
    </w:p>
    <w:p>
      <w:pPr>
        <w:widowControl/>
        <w:spacing w:after="30" w:line="360" w:lineRule="auto"/>
        <w:ind w:firstLine="202"/>
        <w:jc w:val="both"/>
      </w:pPr>
      <w:r>
        <w:rPr>
          <w:rFonts w:ascii="Times New Roman" w:hAnsi="Times New Roman" w:eastAsia="Times New Roman" w:cs="Times New Roman"/>
          <w:color w:val="000000"/>
          <w:sz w:val="24"/>
        </w:rPr>
        <w:t>Chronos-H paid a consistent storage cost. Its median repository footprint was 1.83x, 3.16x, 2.19x, 4.10x, and 6.43x Dolt's for small sparse through large hot, respectively. The 100,000-row Chronos repositories occupied about 34.4 MiB. This reflects inline values, JSON object encoding, and the absence of compact chunk packing and garbage collection.</w:t>
      </w:r>
    </w:p>
    <w:p>
      <w:pPr>
        <w:pStyle w:val="Heading2"/>
        <w:keepNext/>
        <w:widowControl/>
        <w:spacing w:line="360" w:lineRule="auto"/>
      </w:pPr>
      <w:r>
        <w:rPr>
          <w:rFonts w:ascii="Times New Roman" w:hAnsi="Times New Roman" w:eastAsia="Times New Roman" w:cs="Times New Roman"/>
          <w:color w:val="000000"/>
          <w:sz w:val="24"/>
        </w:rPr>
        <w:t>D. Trie-Parameter Sensitivity</w:t>
      </w:r>
    </w:p>
    <w:p>
      <w:pPr>
        <w:keepNext/>
        <w:widowControl/>
        <w:spacing w:before="40" w:after="0" w:line="360" w:lineRule="auto"/>
        <w:ind w:firstLine="0"/>
        <w:jc w:val="center"/>
      </w:pPr>
      <w:r>
        <w:rPr>
          <w:rFonts w:ascii="Times New Roman" w:hAnsi="Times New Roman" w:eastAsia="Times New Roman" w:cs="Times New Roman"/>
          <w:color w:val="000000"/>
          <w:sz w:val="24"/>
        </w:rPr>
        <w:drawing>
          <wp:inline xmlns:a="http://schemas.openxmlformats.org/drawingml/2006/main" xmlns:pic="http://schemas.openxmlformats.org/drawingml/2006/picture">
            <wp:extent cx="3154680" cy="1774508"/>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6"/>
                    <a:stretch>
                      <a:fillRect/>
                    </a:stretch>
                  </pic:blipFill>
                  <pic:spPr>
                    <a:xfrm>
                      <a:off x="0" y="0"/>
                      <a:ext cx="3154680" cy="1774508"/>
                    </a:xfrm>
                    <a:prstGeom prst="rect"/>
                  </pic:spPr>
                </pic:pic>
              </a:graphicData>
            </a:graphic>
          </wp:inline>
        </w:drawing>
      </w:r>
    </w:p>
    <w:p>
      <w:pPr>
        <w:pStyle w:val="Caption"/>
        <w:keepNext w:val="0"/>
        <w:widowControl/>
        <w:spacing w:line="360" w:lineRule="auto"/>
      </w:pPr>
      <w:r>
        <w:rPr>
          <w:rFonts w:ascii="Times New Roman" w:hAnsi="Times New Roman" w:eastAsia="Times New Roman" w:cs="Times New Roman"/>
          <w:color w:val="000000"/>
          <w:sz w:val="24"/>
        </w:rPr>
        <w:t>Fig. 6. Fixed-trie sensitivity; the preferred point depends on the objective.</w:t>
      </w:r>
    </w:p>
    <w:p>
      <w:pPr>
        <w:widowControl/>
        <w:spacing w:after="30" w:line="360" w:lineRule="auto"/>
        <w:ind w:firstLine="202"/>
        <w:jc w:val="both"/>
      </w:pPr>
      <w:r>
        <w:rPr>
          <w:rFonts w:ascii="Times New Roman" w:hAnsi="Times New Roman" w:eastAsia="Times New Roman" w:cs="Times New Roman"/>
          <w:color w:val="000000"/>
          <w:sz w:val="24"/>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pPr>
        <w:pStyle w:val="Heading1"/>
        <w:keepNext/>
        <w:widowControl/>
        <w:spacing w:line="360" w:lineRule="auto"/>
      </w:pPr>
      <w:r>
        <w:rPr>
          <w:rFonts w:ascii="Times New Roman" w:hAnsi="Times New Roman" w:eastAsia="Times New Roman" w:cs="Times New Roman"/>
          <w:smallCaps/>
          <w:color w:val="000000"/>
          <w:sz w:val="24"/>
        </w:rPr>
        <w:t>VI. DISCUSSION</w:t>
      </w:r>
    </w:p>
    <w:p>
      <w:pPr>
        <w:widowControl/>
        <w:spacing w:after="30" w:line="360" w:lineRule="auto"/>
        <w:ind w:firstLine="0"/>
        <w:jc w:val="both"/>
      </w:pPr>
      <w:r>
        <w:rPr>
          <w:rFonts w:ascii="Times New Roman" w:hAnsi="Times New Roman" w:eastAsia="Times New Roman" w:cs="Times New Roman"/>
          <w:color w:val="000000"/>
          <w:sz w:val="24"/>
        </w:rPr>
        <w:t>The results answer RQ1 with a trade-off rather than a single winner. Chronos-H offered low diff, commit, and checkout latency under the benchmark interface, but its import advantage disappeared at 100,000 rows and its repository was always larger than Dolt's. Snapshot and Log-only also remained important: their simpler representations were often cheaper to import or store, while Snapshot diff scaled with materialized key count.</w:t>
      </w:r>
    </w:p>
    <w:p>
      <w:pPr>
        <w:widowControl/>
        <w:spacing w:after="30" w:line="360" w:lineRule="auto"/>
        <w:ind w:firstLine="202"/>
        <w:jc w:val="both"/>
      </w:pPr>
      <w:r>
        <w:rPr>
          <w:rFonts w:ascii="Times New Roman" w:hAnsi="Times New Roman" w:eastAsia="Times New Roman" w:cs="Times New Roman"/>
          <w:color w:val="000000"/>
          <w:sz w:val="24"/>
        </w:rPr>
        <w:t>RQ2 is supported more directly. Because Chronos-H and Chronos-M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30" w:line="360" w:lineRule="auto"/>
        <w:ind w:firstLine="202"/>
        <w:jc w:val="both"/>
      </w:pPr>
      <w:r>
        <w:rPr>
          <w:rFonts w:ascii="Times New Roman" w:hAnsi="Times New Roman" w:eastAsia="Times New Roman" w:cs="Times New Roman"/>
          <w:color w:val="000000"/>
          <w:sz w:val="24"/>
        </w:rPr>
        <w:t>RQ3 rejects a universal geometry. Shallow routing lowers internal traversal but creates larger leaf buckets and higher storage; deeper routing lowers occupancy but increases internal-node work. The appropriate point therefore depends on whether latency, storage, or worst-case bucket scanning dominates the target workload.</w:t>
      </w:r>
    </w:p>
    <w:p>
      <w:pPr>
        <w:widowControl/>
        <w:spacing w:after="30" w:line="360" w:lineRule="auto"/>
        <w:ind w:firstLine="202"/>
        <w:jc w:val="both"/>
      </w:pPr>
      <w:r>
        <w:rPr>
          <w:rFonts w:ascii="Times New Roman" w:hAnsi="Times New Roman" w:eastAsia="Times New Roman" w:cs="Times New Roman"/>
          <w:color w:val="000000"/>
          <w:sz w:val="24"/>
        </w:rPr>
        <w:t>The Dolt comparison must remain scoped. Dolt performs SQL parsing, schema management, version-control operations, and production durability work that Chronos does not. Its Prolly Trees additionally support ordered access, branches, merges, and remotes. The reported system-level ratios demonstrate the behavior of these implementations through their declared interfaces; they do not establish that fixed tries are intrinsically faster than Prolly Trees.</w:t>
      </w:r>
    </w:p>
    <w:p>
      <w:pPr>
        <w:pStyle w:val="Heading1"/>
        <w:keepNext/>
        <w:widowControl/>
        <w:spacing w:line="360" w:lineRule="auto"/>
      </w:pPr>
      <w:r>
        <w:rPr>
          <w:rFonts w:ascii="Times New Roman" w:hAnsi="Times New Roman" w:eastAsia="Times New Roman" w:cs="Times New Roman"/>
          <w:smallCaps/>
          <w:color w:val="000000"/>
          <w:sz w:val="24"/>
        </w:rPr>
        <w:t>VII. LIMITATIONS AND THREATS TO VALIDITY</w:t>
      </w:r>
    </w:p>
    <w:p>
      <w:pPr>
        <w:pStyle w:val="ListBullet"/>
        <w:widowControl/>
        <w:spacing w:line="360" w:lineRule="auto"/>
      </w:pPr>
      <w:r>
        <w:rPr>
          <w:rFonts w:ascii="Times New Roman" w:hAnsi="Times New Roman" w:eastAsia="Times New Roman" w:cs="Times New Roman"/>
          <w:color w:val="000000"/>
          <w:sz w:val="24"/>
        </w:rPr>
        <w:t>Runtime and interface asymmetry: Chronos is Python and in-process, while Dolt is a mature Go executable repeatedly invoked through CLI/SQL boundaries.</w:t>
      </w:r>
    </w:p>
    <w:p>
      <w:pPr>
        <w:pStyle w:val="ListBullet"/>
        <w:widowControl/>
        <w:spacing w:line="360" w:lineRule="auto"/>
      </w:pPr>
      <w:r>
        <w:rPr>
          <w:rFonts w:ascii="Times New Roman" w:hAnsi="Times New Roman" w:eastAsia="Times New Roman" w:cs="Times New Roman"/>
          <w:color w:val="000000"/>
          <w:sz w:val="24"/>
        </w:rPr>
        <w:t>Feature asymmetry: Chronos has linear history and one writer; it does not implement SQL, branches, merges, remotes, schema evolution, or production concurrency.</w:t>
      </w:r>
    </w:p>
    <w:p>
      <w:pPr>
        <w:pStyle w:val="ListBullet"/>
        <w:widowControl/>
        <w:spacing w:line="360" w:lineRule="auto"/>
      </w:pPr>
      <w:r>
        <w:rPr>
          <w:rFonts w:ascii="Times New Roman" w:hAnsi="Times New Roman" w:eastAsia="Times New Roman" w:cs="Times New Roman"/>
          <w:color w:val="000000"/>
          <w:sz w:val="24"/>
        </w:rPr>
        <w:t>Synthetic scope: deterministic key/value workloads reach 100,000 rows but do not represent all real schemas, skew, payload sizes, or long histories.</w:t>
      </w:r>
    </w:p>
    <w:p>
      <w:pPr>
        <w:pStyle w:val="ListBullet"/>
        <w:widowControl/>
        <w:spacing w:line="360" w:lineRule="auto"/>
      </w:pPr>
      <w:r>
        <w:rPr>
          <w:rFonts w:ascii="Times New Roman" w:hAnsi="Times New Roman" w:eastAsia="Times New Roman" w:cs="Times New Roman"/>
          <w:color w:val="000000"/>
          <w:sz w:val="24"/>
        </w:rPr>
        <w:t>Single environment: results come from one Windows 11 machine; cache, scheduling, filesystem, and antivirus behavior may affect short operations.</w:t>
      </w:r>
    </w:p>
    <w:p>
      <w:pPr>
        <w:pStyle w:val="ListBullet"/>
        <w:widowControl/>
        <w:spacing w:line="360" w:lineRule="auto"/>
      </w:pPr>
      <w:r>
        <w:rPr>
          <w:rFonts w:ascii="Times New Roman" w:hAnsi="Times New Roman" w:eastAsia="Times New Roman" w:cs="Times New Roman"/>
          <w:color w:val="000000"/>
          <w:sz w:val="24"/>
        </w:rPr>
        <w:t>Calibration boundary: 4,096 is the largest sampled log-favorable point, not a measured universal crossover.</w:t>
      </w:r>
    </w:p>
    <w:p>
      <w:pPr>
        <w:pStyle w:val="ListBullet"/>
        <w:widowControl/>
        <w:spacing w:line="360" w:lineRule="auto"/>
      </w:pPr>
      <w:r>
        <w:rPr>
          <w:rFonts w:ascii="Times New Roman" w:hAnsi="Times New Roman" w:eastAsia="Times New Roman" w:cs="Times New Roman"/>
          <w:color w:val="000000"/>
          <w:sz w:val="24"/>
        </w:rPr>
        <w:t>Memory comparability: Python tracemalloc values and Dolt process memory are not equivalent, so the paper does not present a cross-system memory graph.</w:t>
      </w:r>
    </w:p>
    <w:p>
      <w:pPr>
        <w:pStyle w:val="ListBullet"/>
        <w:widowControl/>
        <w:spacing w:line="360" w:lineRule="auto"/>
      </w:pPr>
      <w:r>
        <w:rPr>
          <w:rFonts w:ascii="Times New Roman" w:hAnsi="Times New Roman" w:eastAsia="Times New Roman" w:cs="Times New Roman"/>
          <w:color w:val="000000"/>
          <w:sz w:val="24"/>
        </w:rPr>
        <w:t>Work-unit mismatch: keys, operations, trie-node pairs, and Dolt-internal work cannot be interpreted as one normalized counter.</w:t>
      </w:r>
    </w:p>
    <w:p>
      <w:pPr>
        <w:pStyle w:val="ListBullet"/>
        <w:widowControl/>
        <w:spacing w:line="360" w:lineRule="auto"/>
      </w:pPr>
      <w:r>
        <w:rPr>
          <w:rFonts w:ascii="Times New Roman" w:hAnsi="Times New Roman" w:eastAsia="Times New Roman" w:cs="Times New Roman"/>
          <w:color w:val="000000"/>
          <w:sz w:val="24"/>
        </w:rPr>
        <w:t>Outlier policy: all 83 Tukey candidates were retained. Medians and interquartile ranges reduce their influence, but seven trials do not establish distributional normality.</w:t>
      </w:r>
    </w:p>
    <w:p>
      <w:pPr>
        <w:pStyle w:val="Heading1"/>
        <w:keepNext/>
        <w:widowControl/>
        <w:spacing w:line="360" w:lineRule="auto"/>
      </w:pPr>
      <w:r>
        <w:rPr>
          <w:rFonts w:ascii="Times New Roman" w:hAnsi="Times New Roman" w:eastAsia="Times New Roman" w:cs="Times New Roman"/>
          <w:smallCaps/>
          <w:color w:val="000000"/>
          <w:sz w:val="24"/>
        </w:rPr>
        <w:t>VIII. FUTURE WORK</w:t>
      </w:r>
    </w:p>
    <w:p>
      <w:pPr>
        <w:widowControl/>
        <w:spacing w:after="30" w:line="360" w:lineRule="auto"/>
        <w:ind w:firstLine="0"/>
        <w:jc w:val="both"/>
      </w:pPr>
      <w:r>
        <w:rPr>
          <w:rFonts w:ascii="Times New Roman" w:hAnsi="Times New Roman" w:eastAsia="Times New Roman" w:cs="Times New Roman"/>
          <w:color w:val="000000"/>
          <w:sz w:val="24"/>
        </w:rPr>
        <w:t>The immediate improvement is workload-aware structure selection. A repository could estimate key count, prefix skew, mutation density, and leaf occupancy and then choose among tested trie geometries instead of fixing b and d globally. The hybrid selector should likewise learn a crossover from periodic calibration and include history distance, changed-prefix density, and observed I/O cost rather than only operation count.</w:t>
      </w:r>
    </w:p>
    <w:p>
      <w:pPr>
        <w:widowControl/>
        <w:spacing w:after="30" w:line="360" w:lineRule="auto"/>
        <w:ind w:firstLine="202"/>
        <w:jc w:val="both"/>
      </w:pPr>
      <w:r>
        <w:rPr>
          <w:rFonts w:ascii="Times New Roman" w:hAnsi="Times New Roman" w:eastAsia="Times New Roman" w:cs="Times New Roman"/>
          <w:color w:val="000000"/>
          <w:sz w:val="24"/>
        </w:rPr>
        <w:t>Storage efficiency can be improved through compact binary node encoding, value chunking, pack files, compression, object reachability analysis, and garbage collection. An ordered Merkle index or content-defined chunk boundaries would add range scans and history-independent layout while retaining the current fixed trie as a controlled baseline.</w:t>
      </w:r>
    </w:p>
    <w:p>
      <w:pPr>
        <w:widowControl/>
        <w:spacing w:after="30" w:line="360" w:lineRule="auto"/>
        <w:ind w:firstLine="202"/>
        <w:jc w:val="both"/>
      </w:pPr>
      <w:r>
        <w:rPr>
          <w:rFonts w:ascii="Times New Roman" w:hAnsi="Times New Roman" w:eastAsia="Times New Roman" w:cs="Times New Roman"/>
          <w:color w:val="000000"/>
          <w:sz w:val="24"/>
        </w:rPr>
        <w:t>System scope should expand to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pStyle w:val="Heading1"/>
        <w:keepNext/>
        <w:widowControl/>
        <w:spacing w:line="360" w:lineRule="auto"/>
      </w:pPr>
      <w:r>
        <w:rPr>
          <w:rFonts w:ascii="Times New Roman" w:hAnsi="Times New Roman" w:eastAsia="Times New Roman" w:cs="Times New Roman"/>
          <w:smallCaps/>
          <w:color w:val="000000"/>
          <w:sz w:val="24"/>
        </w:rPr>
        <w:t>IX. CONCLUSION</w:t>
      </w:r>
    </w:p>
    <w:p>
      <w:pPr>
        <w:widowControl/>
        <w:spacing w:after="30" w:line="360" w:lineRule="auto"/>
        <w:ind w:firstLine="0"/>
        <w:jc w:val="both"/>
      </w:pPr>
      <w:r>
        <w:rPr>
          <w:rFonts w:ascii="Times New Roman" w:hAnsi="Times New Roman" w:eastAsia="Times New Roman" w:cs="Times New Roman"/>
          <w:color w:val="000000"/>
          <w:sz w:val="24"/>
        </w:rPr>
        <w:t>Chronos demonstrates a complete content-addressed versioning path for structured key/value data: canonical immutable objects, incremental copy-on-write Merkle trie updates, atomic SQLite persistence, historical checkout, and adaptive differencing. The audited 333-trial comparison shows that Chronos-H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spacing w:line="360" w:lineRule="auto"/>
      </w:pPr>
      <w:r>
        <w:rPr>
          <w:rFonts w:ascii="Times New Roman" w:hAnsi="Times New Roman" w:eastAsia="Times New Roman" w:cs="Times New Roman"/>
          <w:smallCaps/>
          <w:color w:val="000000"/>
          <w:sz w:val="24"/>
        </w:rPr>
        <w:t>ACKNOWLEDGMENT</w:t>
      </w:r>
    </w:p>
    <w:p>
      <w:pPr>
        <w:widowControl/>
        <w:spacing w:after="30" w:line="360" w:lineRule="auto"/>
        <w:ind w:firstLine="0"/>
        <w:jc w:val="both"/>
      </w:pPr>
      <w:r>
        <w:rPr>
          <w:rFonts w:ascii="Times New Roman" w:hAnsi="Times New Roman" w:eastAsia="Times New Roman" w:cs="Times New Roman"/>
          <w:color w:val="000000"/>
          <w:sz w:val="24"/>
        </w:rPr>
        <w:t>The authors acknowledge the open-source Dolt project and the researchers whose dataset-versioning systems informed the experimental design.</w:t>
      </w:r>
    </w:p>
    <w:p>
      <w:pPr>
        <w:pStyle w:val="Heading1"/>
        <w:keepNext/>
        <w:widowControl/>
        <w:spacing w:line="360" w:lineRule="auto"/>
      </w:pPr>
      <w:r>
        <w:rPr>
          <w:rFonts w:ascii="Times New Roman" w:hAnsi="Times New Roman" w:eastAsia="Times New Roman" w:cs="Times New Roman"/>
          <w:smallCaps/>
          <w:color w:val="000000"/>
          <w:sz w:val="24"/>
        </w:rPr>
        <w:t>REFERENCES</w:t>
      </w:r>
    </w:p>
    <w:p>
      <w:pPr>
        <w:pStyle w:val="IEEEReference"/>
        <w:widowControl/>
        <w:spacing w:line="360" w:lineRule="auto"/>
      </w:pPr>
      <w:r>
        <w:rPr>
          <w:rFonts w:ascii="Times New Roman" w:hAnsi="Times New Roman" w:eastAsia="Times New Roman" w:cs="Times New Roman"/>
          <w:color w:val="000000"/>
          <w:sz w:val="24"/>
        </w:rPr>
        <w:t>[1] R. C. Merkle, "A digital signature based on a conventional encryption function," in Advances in Cryptology - CRYPTO '87, LNCS 293, 1988, pp. 369-378, doi: 10.1007/3-540-48184-2_32.</w:t>
      </w:r>
    </w:p>
    <w:p>
      <w:pPr>
        <w:pStyle w:val="IEEEReference"/>
        <w:widowControl/>
        <w:spacing w:line="360" w:lineRule="auto"/>
      </w:pPr>
      <w:r>
        <w:rPr>
          <w:rFonts w:ascii="Times New Roman" w:hAnsi="Times New Roman" w:eastAsia="Times New Roman" w:cs="Times New Roman"/>
          <w:color w:val="000000"/>
          <w:sz w:val="24"/>
        </w:rPr>
        <w:t>[2] S. Chacon and B. Straub, "Git internals - Git objects," in Pro Git, 2nd ed. [Online]. Available: https://git-scm.com/book/en/v2/Git-Internals-Git-Objects</w:t>
      </w:r>
    </w:p>
    <w:p>
      <w:pPr>
        <w:pStyle w:val="IEEEReference"/>
        <w:widowControl/>
        <w:spacing w:line="360" w:lineRule="auto"/>
      </w:pPr>
      <w:r>
        <w:rPr>
          <w:rFonts w:ascii="Times New Roman" w:hAnsi="Times New Roman" w:eastAsia="Times New Roman" w:cs="Times New Roman"/>
          <w:color w:val="000000"/>
          <w:sz w:val="24"/>
        </w:rPr>
        <w:t>[3] DoltHub, "Dolt storage engine: Block store," Dolt Documentation. [Online]. Available: https://www.dolthub.com/docs/architecture/storage-engine/block-store/</w:t>
      </w:r>
    </w:p>
    <w:p>
      <w:pPr>
        <w:pStyle w:val="IEEEReference"/>
        <w:widowControl/>
        <w:spacing w:line="360" w:lineRule="auto"/>
      </w:pPr>
      <w:r>
        <w:rPr>
          <w:rFonts w:ascii="Times New Roman" w:hAnsi="Times New Roman" w:eastAsia="Times New Roman" w:cs="Times New Roman"/>
          <w:color w:val="000000"/>
          <w:sz w:val="24"/>
        </w:rPr>
        <w:t>[4] DoltHub, "Dolt's storage engine: Prolly Trees and commit graph," Feb. 2024. [Online]. Available: https://www.dolthub.com/blog/2024-02-29-storage-engine/</w:t>
      </w:r>
    </w:p>
    <w:p>
      <w:pPr>
        <w:pStyle w:val="IEEEReference"/>
        <w:widowControl/>
        <w:spacing w:line="360" w:lineRule="auto"/>
      </w:pPr>
      <w:r>
        <w:rPr>
          <w:rFonts w:ascii="Times New Roman" w:hAnsi="Times New Roman" w:eastAsia="Times New Roman" w:cs="Times New Roman"/>
          <w:color w:val="000000"/>
          <w:sz w:val="24"/>
        </w:rPr>
        <w:t>[5] A. Bhardwaj, S. Bhattacherjee, A. Chavan, A. Deshpande, A. J. Elmore, S. Madden, and A. G. Parameswaran, "DataHub: Collaborative data science and dataset version management at scale," arXiv:1409.0798, 2014.</w:t>
      </w:r>
    </w:p>
    <w:p>
      <w:pPr>
        <w:pStyle w:val="IEEEReference"/>
        <w:widowControl/>
        <w:spacing w:line="360" w:lineRule="auto"/>
      </w:pPr>
      <w:r>
        <w:rPr>
          <w:rFonts w:ascii="Times New Roman" w:hAnsi="Times New Roman" w:eastAsia="Times New Roman" w:cs="Times New Roman"/>
          <w:color w:val="000000"/>
          <w:sz w:val="24"/>
        </w:rPr>
        <w:t>[6] M. A. Maddox et al., "Decibel: The relational dataset branching system," Proc. VLDB Endow., vol. 9, no. 9, pp. 624-635, 2016, doi: 10.14778/2947618.2947619.</w:t>
      </w:r>
    </w:p>
    <w:p>
      <w:pPr>
        <w:pStyle w:val="IEEEReference"/>
        <w:widowControl/>
        <w:spacing w:line="360" w:lineRule="auto"/>
      </w:pPr>
      <w:r>
        <w:rPr>
          <w:rFonts w:ascii="Times New Roman" w:hAnsi="Times New Roman" w:eastAsia="Times New Roman" w:cs="Times New Roman"/>
          <w:color w:val="000000"/>
          <w:sz w:val="24"/>
        </w:rPr>
        <w:t>[7] S. Huang, L. Xu, J. Liu, A. J. Elmore, and A. Parameswaran, "OrpheusDB: Bolt-on versioning for relational databases," Proc. VLDB Endow., vol. 10, no. 10, pp. 1130-1141, 2017.</w:t>
      </w:r>
    </w:p>
    <w:p>
      <w:pPr>
        <w:pStyle w:val="IEEEReference"/>
        <w:widowControl/>
        <w:spacing w:line="360" w:lineRule="auto"/>
      </w:pPr>
      <w:r>
        <w:rPr>
          <w:rFonts w:ascii="Times New Roman" w:hAnsi="Times New Roman" w:eastAsia="Times New Roman" w:cs="Times New Roman"/>
          <w:color w:val="000000"/>
          <w:sz w:val="24"/>
        </w:rPr>
        <w:t>[8] S. Bhattacherjee, A. Chavan, S. Huang, A. Deshpande, and A. Parameswaran, "Principles of dataset versioning: Exploring the recreation/storage tradeoff," Proc. VLDB Endow., vol. 8, no. 12, pp. 1346-1357, 2015.</w:t>
      </w:r>
    </w:p>
    <w:p>
      <w:pPr>
        <w:pStyle w:val="IEEEReference"/>
        <w:widowControl/>
        <w:spacing w:line="360" w:lineRule="auto"/>
      </w:pPr>
      <w:r>
        <w:rPr>
          <w:rFonts w:ascii="Times New Roman" w:hAnsi="Times New Roman" w:eastAsia="Times New Roman" w:cs="Times New Roman"/>
          <w:color w:val="000000"/>
          <w:sz w:val="24"/>
        </w:rPr>
        <w:t>[9] Attic Labs, "Noms technical overview," GitHub. [Online]. Available: https://github.com/attic-labs/noms/blob/master/doc/intro.md</w:t>
      </w:r>
    </w:p>
    <w:p>
      <w:pPr>
        <w:pStyle w:val="IEEEReference"/>
        <w:widowControl/>
        <w:spacing w:line="360" w:lineRule="auto"/>
      </w:pPr>
      <w:r>
        <w:rPr>
          <w:rFonts w:ascii="Times New Roman" w:hAnsi="Times New Roman" w:eastAsia="Times New Roman" w:cs="Times New Roman"/>
          <w:color w:val="000000"/>
          <w:sz w:val="24"/>
        </w:rPr>
        <w:t>[10] S. Wang et al., "ForkBase: An efficient storage engine for blockchain and forkable applications," Proc. VLDB Endow., vol. 11, no. 10, pp. 1137-1150, 2018, doi: 10.14778/3231751.3231762.</w:t>
      </w:r>
    </w:p>
    <w:p>
      <w:pPr>
        <w:pStyle w:val="Heading1"/>
        <w:keepNext/>
        <w:widowControl/>
        <w:spacing w:line="360" w:lineRule="auto"/>
      </w:pPr>
      <w:r>
        <w:rPr>
          <w:rFonts w:ascii="Times New Roman" w:hAnsi="Times New Roman" w:eastAsia="Times New Roman" w:cs="Times New Roman"/>
          <w:smallCaps/>
          <w:color w:val="000000"/>
          <w:sz w:val="24"/>
        </w:rPr>
        <w:t>REPRODUCIBILITY AND DATA AVAILABILITY</w:t>
      </w:r>
    </w:p>
    <w:p>
      <w:pPr>
        <w:widowControl/>
        <w:spacing w:after="30" w:line="360" w:lineRule="auto"/>
        <w:ind w:firstLine="0"/>
        <w:jc w:val="both"/>
      </w:pPr>
      <w:r>
        <w:rPr>
          <w:rFonts w:ascii="Times New Roman" w:hAnsi="Times New Roman" w:eastAsia="Times New Roman" w:cs="Times New Roman"/>
          <w:color w:val="000000"/>
          <w:sz w:val="24"/>
        </w:rPr>
        <w:t>The repository contains the benchmark harness, evidence audit, trie-sensitivity harness, and paper generator. The final evidence bundle is output/benchmarks/paper-final-20260824; the sensitivity bundle is output/benchmarks/trie-sensitivity-20260824. Results in this paper are generated programmatically from their summary CSV files and verified against raw results and manifests; no table or graph uses an earlier validation export.</w:t>
      </w:r>
    </w:p>
    <w:sectPr w:rsidR="00FC693F" w:rsidRPr="0006063C" w:rsidSect="00034616">
      <w:type w:val="continuous"/>
      <w:pgSz w:w="12240" w:h="15840"/>
      <w:pgMar w:top="1008" w:right="936" w:bottom="1008" w:left="936" w:header="432" w:footer="504" w:gutter="0"/>
      <w:cols w:num="2" w:space="288"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60"/>
      <w:ind w:firstLine="202"/>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line="360" w:lineRule="auto"/>
      <w:ind w:firstLine="0"/>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00" w:after="40" w:line="360" w:lineRule="auto"/>
      <w:ind w:firstLine="0"/>
      <w:jc w:val="left"/>
      <w:outlineLvl w:val="1"/>
    </w:pPr>
    <w:rPr>
      <w:rFonts w:asciiTheme="majorHAnsi" w:eastAsiaTheme="majorEastAsia" w:hAnsiTheme="majorHAnsi" w:cstheme="majorBidi" w:ascii="Times New Roman" w:hAnsi="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40" w:line="360" w:lineRule="auto"/>
      <w:ind w:firstLine="0"/>
      <w:jc w:val="left"/>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360" w:lineRule="auto"/>
      <w:contextualSpacing/>
      <w:jc w:val="center"/>
    </w:pPr>
    <w:rPr>
      <w:rFonts w:asciiTheme="majorHAnsi" w:eastAsiaTheme="majorEastAsia" w:hAnsiTheme="majorHAnsi" w:cstheme="majorBidi" w:ascii="Times New Roman" w:hAnsi="Times New Roman"/>
      <w:b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360" w:lineRule="auto"/>
      <w:ind w:left="259" w:hanging="173"/>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line="360" w:lineRule="auto"/>
      <w:ind w:left="259" w:hanging="173"/>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before="40" w:after="80"/>
      <w:ind w:firstLine="0"/>
      <w:jc w:val="center"/>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60" w:line="360" w:lineRule="auto"/>
      <w:ind w:left="259" w:hanging="259"/>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A Content-Addressed Versioned Data Store</dc:title>
  <dc:subject>Final research paper</dc:subject>
  <dc:creator>Chronos Project Team</dc:creator>
  <cp:keywords>content-addressed storage, structured data versioning, Merkle trie, incremental hashing, adaptive diff, Dolt</cp:keywords>
  <dc:description>generated by python-docx</dc:description>
  <cp:lastModifiedBy/>
  <cp:revision>1</cp:revision>
  <dcterms:created xsi:type="dcterms:W3CDTF">2013-12-23T23:15:00Z</dcterms:created>
  <dcterms:modified xsi:type="dcterms:W3CDTF">2013-12-23T23:15:00Z</dcterms:modified>
  <cp:category/>
</cp:coreProperties>
</file>