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3D699" w14:textId="77777777" w:rsidR="00E520D1" w:rsidRDefault="00000000">
      <w:pPr>
        <w:pStyle w:val="Title"/>
        <w:keepNext/>
        <w:spacing w:before="0" w:after="240" w:line="240" w:lineRule="auto"/>
        <w:jc w:val="center"/>
      </w:pPr>
      <w:r>
        <w:rPr>
          <w:rFonts w:ascii="Times New Roman" w:hAnsi="Times New Roman"/>
          <w:b/>
          <w:i w:val="0"/>
          <w:sz w:val="30"/>
        </w:rPr>
        <w:t>Revon: Git-Inspired Merkle Hash Trie</w:t>
        <w:br/>
      </w:r>
      <w:r>
        <w:rPr>
          <w:rFonts w:ascii="Times New Roman" w:hAnsi="Times New Roman"/>
          <w:b/>
          <w:i w:val="0"/>
          <w:sz w:val="30"/>
        </w:rPr>
        <w:t>Versioning for Structured Data</w:t>
      </w:r>
      <w:r>
        <w:rPr>
          <w:rFonts w:ascii="Times New Roman" w:hAnsi="Times New Roman"/>
          <w:b/>
          <w:i w:val="0"/>
          <w:sz w:val="30"/>
        </w:rPr>
      </w:r>
    </w:p>
    <w:p w14:paraId="6CCC9EF8" w14:textId="77777777" w:rsidR="00E520D1" w:rsidRDefault="00000000">
      <w:pPr>
        <w:keepNext w:val="0"/>
        <w:spacing w:before="0" w:after="0" w:line="272" w:lineRule="exact"/>
        <w:ind w:firstLine="216"/>
        <w:jc w:val="both"/>
      </w:pPr>
      <w:r>
        <w:rPr>
          <w:rFonts w:eastAsia="Times New Roman" w:cs="Times New Roman" w:ascii="Times New Roman" w:hAnsi="Times New Roman"/>
          <w:b/>
          <w:i w:val="0"/>
          <w:sz w:val="22"/>
        </w:rPr>
        <w:t>Atharva Sheersh Pandey</w:t>
      </w:r>
      <w:r>
        <w:rPr>
          <w:rFonts w:eastAsia="Times New Roman" w:cs="Times New Roman" w:ascii="Times New Roman" w:hAnsi="Times New Roman"/>
          <w:b/>
          <w:i w:val="0"/>
          <w:sz w:val="22"/>
          <w:vertAlign w:val="superscript"/>
        </w:rPr>
        <w:t>1</w:t>
      </w:r>
      <w:r>
        <w:rPr>
          <w:rFonts w:eastAsia="Times New Roman" w:cs="Times New Roman" w:ascii="Times New Roman" w:hAnsi="Times New Roman"/>
          <w:b/>
          <w:i w:val="0"/>
          <w:sz w:val="22"/>
        </w:rPr>
        <w:t>, Adhyan Jain</w:t>
      </w:r>
      <w:r>
        <w:rPr>
          <w:rFonts w:eastAsia="Times New Roman" w:cs="Times New Roman" w:ascii="Times New Roman" w:hAnsi="Times New Roman"/>
          <w:b/>
          <w:i w:val="0"/>
          <w:sz w:val="22"/>
          <w:vertAlign w:val="superscript"/>
        </w:rPr>
        <w:t>1</w:t>
      </w:r>
      <w:r>
        <w:rPr>
          <w:rFonts w:eastAsia="Times New Roman" w:cs="Times New Roman" w:ascii="Times New Roman" w:hAnsi="Times New Roman"/>
          <w:b/>
          <w:i w:val="0"/>
          <w:sz w:val="22"/>
        </w:rPr>
        <w:t>, Poornima Nedunchezhian</w:t>
      </w:r>
      <w:r>
        <w:rPr>
          <w:rFonts w:eastAsia="Times New Roman" w:cs="Times New Roman" w:ascii="Times New Roman" w:hAnsi="Times New Roman"/>
          <w:b/>
          <w:i w:val="0"/>
          <w:sz w:val="22"/>
          <w:vertAlign w:val="superscript"/>
        </w:rPr>
        <w:t>2</w:t>
      </w:r>
    </w:p>
    <w:p w14:paraId="00FB85CF" w14:textId="77777777" w:rsidR="00E520D1" w:rsidRDefault="00E520D1">
      <w:pPr>
        <w:keepNext w:val="0"/>
        <w:spacing w:before="0" w:after="0" w:line="272" w:lineRule="exact"/>
        <w:ind w:firstLine="216"/>
        <w:jc w:val="both"/>
      </w:pPr>
      <w:hyperlink r:id="rId8" w:history="1">
        <w:r>
          <w:rPr>
            <w:rFonts w:eastAsia="Times New Roman" w:cs="Times New Roman"/>
            <w:sz w:val="21"/>
          </w:rPr>
          <w:t>atharva.sheersh2024@vitstudent.ac.in</w:t>
        </w:r>
      </w:hyperlink>
      <w:r w:rsidR="00000000">
        <w:rPr>
          <w:rFonts w:eastAsia="Times New Roman" w:cs="Times New Roman" w:ascii="Times New Roman" w:hAnsi="Times New Roman"/>
          <w:b w:val="0"/>
          <w:i w:val="0"/>
          <w:sz w:val="22"/>
        </w:rPr>
        <w:t xml:space="preserve">; </w:t>
      </w:r>
      <w:hyperlink r:id="rId9" w:history="1">
        <w:r>
          <w:rPr>
            <w:rFonts w:eastAsia="Times New Roman" w:cs="Times New Roman"/>
            <w:sz w:val="21"/>
          </w:rPr>
          <w:t>adhyan.jain2024@vitstudent.ac.in</w:t>
        </w:r>
      </w:hyperlink>
      <w:r w:rsidR="00000000">
        <w:rPr>
          <w:rFonts w:eastAsia="Times New Roman" w:cs="Times New Roman" w:ascii="Times New Roman" w:hAnsi="Times New Roman"/>
          <w:b w:val="0"/>
          <w:i w:val="0"/>
          <w:sz w:val="22"/>
        </w:rPr>
        <w:t>;</w:t>
      </w:r>
    </w:p>
    <w:p w14:paraId="4C491776" w14:textId="77777777" w:rsidR="00E520D1" w:rsidRDefault="00E520D1">
      <w:pPr>
        <w:keepNext w:val="0"/>
        <w:spacing w:before="0" w:after="0" w:line="272" w:lineRule="exact"/>
        <w:ind w:firstLine="216"/>
        <w:jc w:val="both"/>
      </w:pPr>
      <w:hyperlink r:id="rId10" w:history="1">
        <w:r>
          <w:rPr>
            <w:rFonts w:eastAsia="Times New Roman" w:cs="Times New Roman"/>
            <w:sz w:val="21"/>
          </w:rPr>
          <w:t>poornima.n@vit.ac.in</w:t>
        </w:r>
      </w:hyperlink>
    </w:p>
    <w:p w14:paraId="2B15EBBA" w14:textId="77777777" w:rsidR="00E520D1" w:rsidRDefault="00000000">
      <w:pPr>
        <w:keepNext w:val="0"/>
        <w:spacing w:before="0" w:after="0" w:line="272" w:lineRule="exact"/>
        <w:ind w:firstLine="216"/>
        <w:jc w:val="both"/>
      </w:pPr>
      <w:r>
        <w:rPr>
          <w:rFonts w:eastAsia="Times New Roman" w:cs="Times New Roman" w:ascii="Times New Roman" w:hAnsi="Times New Roman"/>
          <w:b w:val="0"/>
          <w:i w:val="0"/>
          <w:sz w:val="22"/>
        </w:rPr>
        <w:t>School of Computer Science and Engineering</w:t>
      </w:r>
    </w:p>
    <w:p w14:paraId="0301060E" w14:textId="77777777" w:rsidR="00E520D1" w:rsidRDefault="00000000">
      <w:pPr>
        <w:keepNext w:val="0"/>
        <w:spacing w:before="0" w:after="0" w:line="272" w:lineRule="exact"/>
        <w:ind w:firstLine="216"/>
        <w:jc w:val="both"/>
        <w:sectPr w:rsidR="00E520D1">
          <w:type w:val="continuous"/>
          <w:headerReference w:type="default" r:id="rId11"/>
          <w:footerReference w:type="default" r:id="rId12"/>
          <w:pgSz w:w="11909" w:h="16834"/>
          <w:pgMar w:top="1440" w:right="1440" w:bottom="1440" w:left="1440" w:header="360" w:footer="360" w:gutter="0"/>
          <w:cols w:space="0" w:num="1" w:equalWidth="1"/>
          <w:docGrid w:linePitch="360"/>
        </w:sectPr>
      </w:pPr>
      <w:r>
        <w:rPr>
          <w:rFonts w:eastAsia="Times New Roman" w:cs="Times New Roman" w:ascii="Times New Roman" w:hAnsi="Times New Roman"/>
          <w:b w:val="0"/>
          <w:i w:val="0"/>
          <w:sz w:val="22"/>
        </w:rPr>
        <w:t>VIT Vellore</w:t>
      </w:r>
    </w:p>
    <w:p w14:paraId="59520580" w14:textId="77777777" w:rsidR="00E520D1" w:rsidRDefault="00E520D1">
      <w:pPr>
        <w:keepNext w:val="0"/>
        <w:spacing w:line="272" w:lineRule="exact" w:after="0"/>
        <w:ind w:firstLine="216"/>
        <w:jc w:val="both"/>
      </w:pPr>
    </w:p>
    <w:p w14:paraId="3AA9E51B" w14:textId="77777777" w:rsidR="00E520D1" w:rsidRDefault="00000000">
      <w:pPr>
        <w:keepNext w:val="0"/>
        <w:spacing w:after="0" w:before="60" w:line="272" w:lineRule="exact"/>
        <w:ind w:firstLine="216"/>
        <w:jc w:val="both"/>
      </w:pPr>
      <w:r>
        <w:rPr>
          <w:b/>
        </w:rPr>
        <w:t>Abstract:</w:t>
      </w:r>
      <w:r>
        <w:t xml:space="preserve"> Versioning structured data means keeping exact historical states, handling sparse updates, and comparing versions without copying the full dataset each time. Revon is a Python prototype built on an immutable, fixed-depth Merkle hash trie. Its hybrid variant, Revon-H, stores addressed changesets and chooses between log aggregation and hash-pruned differencing. We tested Snapshot, Log-only, forced-Merkle Revon-M, Revon-H, and Dolt 2.3.1 on deterministic workloads of up to 100,000 rows, across 540 successful executions. For the tested workflows, median paired Dolt/Revon-H diff-latency ratios ranged from 7.14 to 625.10, and all seven-trial 95% bootstrap intervals favored Revon-H latency. Those are interface-level results: the comparison includes different APIs and does not isolate tree or index performance. A separate three-seed study could not resolve the 50-commit ablation result. We ran the experiments on one Windows host and under WSL2 on that same computer. The results show workload-dependent trade-offs for this prototype; they do not establish general or production-level superiority.</w:t>
      </w:r>
    </w:p>
    <w:p>
      <w:pPr>
        <w:jc w:val="both"/>
        <w:ind w:left="340" w:right="340" w:firstLine="216"/>
        <w:keepNext w:val="0"/>
        <w:spacing w:line="272" w:lineRule="exact" w:after="0"/>
      </w:pPr>
      <w:r>
        <w:rPr>
          <w:rFonts w:ascii="Times New Roman" w:hAnsi="Times New Roman" w:cs="Times New Roman" w:eastAsia="Times New Roman"/>
          <w:sz w:val="22"/>
        </w:rPr>
        <w:t>Versioning structured datasets requires durable history, efficient sparse updates, historical reconstruction, and comparison without copying every record. Revon is a Python prototype built around an immutable fixed-depth Merkle hash trie; Revon-H adds addressed changesets and adaptively selects log aggregation or hash-pruned differencing. We compare Snapshot, Log-only, forced-Merkle Revon-M, Revon-H, and Dolt 2.3.1 on deterministic workloads up to 100,000 rows, using evidence from 540 successful executions. Within the declared API and CLI workflows, median paired Dolt/Revon-H diff-latency ratios range from 7.14 to 625.10, and all seven-trial 95% bootstrap intervals favor Revon-H latency. These are workflow-level results: the comparison includes different interfaces and does not isolate index or tree performance. A separate three-seed study found the 50-commit ablation result inconclusive. Experiments used one Windows host and WSL2 on the same physical computer. The results support workload-specific trade-offs for this prototype, not general or production-level superiority.</w:t>
      </w:r>
    </w:p>
    <w:p w14:paraId="4A2FD650" w14:textId="77777777" w:rsidR="00E520D1" w:rsidRDefault="00000000">
      <w:pPr>
        <w:pStyle w:val="Heading1"/>
        <w:keepNext/>
        <w:spacing w:before="140" w:after="60"/>
        <w:ind w:firstLine="0"/>
        <w:jc w:val="center"/>
      </w:pPr>
      <w:r>
        <w:rPr>
          <w:rFonts w:ascii="Times New Roman" w:hAnsi="Times New Roman" w:cs="Times New Roman" w:eastAsia="Times New Roman"/>
          <w:b/>
          <w:sz w:val="24"/>
        </w:rPr>
        <w:t>1 INTRODUCTION</w:t>
      </w:r>
    </w:p>
    <w:p w14:paraId="283D9E92" w14:textId="77777777" w:rsidR="00E520D1" w:rsidRDefault="00000000">
      <w:pPr>
        <w:keepNext w:val="0"/>
        <w:spacing w:line="272" w:lineRule="exact" w:after="0"/>
        <w:ind w:firstLine="216"/>
        <w:jc w:val="both"/>
      </w:pPr>
      <w:r>
        <w:t xml:space="preserve">Structured-data version control has to do more than archive files. It must preserve exact versions, apply sparse updates without rebuilding the whole state, restore earlier versions, and compare states efficiently. Git offers a useful starting point: immutable objects named by their content, linked through parent commits </w:t>
      </w:r>
      <w:hyperlink w:anchor="ref_git" w:history="1">
        <w:r>
          <w:rPr>
            <w:rStyle w:val="Hyperlink"/>
          </w:rPr>
          <w:t>(Chacon and Straub, 2014)</w:t>
        </w:r>
      </w:hyperlink>
      <w:r>
        <w:t>. Its objects are organized around files and directories, however. Record stores have a different shape: keys may remain stable while update density changes, and two versions may differ by a few edits or by a long commit history.</w:t>
      </w:r>
    </w:p>
    <w:p w14:paraId="5EF902E8" w14:textId="77777777" w:rsidR="00E520D1" w:rsidRDefault="00000000">
      <w:pPr>
        <w:keepNext w:val="0"/>
        <w:spacing w:line="272" w:lineRule="exact" w:after="0"/>
        <w:ind w:firstLine="216"/>
        <w:jc w:val="both"/>
      </w:pPr>
      <w:r>
        <w:t>Revon asks whether a fixed-depth Merkle hash trie can combine incremental structural sharing with an operation index. The main variant, Revon-H, uses the log path for short or sparse intervals and switches to Merkle comparison after a calibration threshold fixed before evaluation. SQLite supplies atomic, durable storage; it does not define Revon’s versioning algorithm.</w:t>
      </w:r>
    </w:p>
    <w:p w14:paraId="11F15D25" w14:textId="77777777" w:rsidR="00E520D1" w:rsidRDefault="00000000">
      <w:pPr>
        <w:keepNext w:val="0"/>
        <w:spacing w:line="272" w:lineRule="exact" w:after="0"/>
        <w:ind w:firstLine="216"/>
        <w:jc w:val="both"/>
      </w:pPr>
      <w:r>
        <w:t xml:space="preserve">We use Dolt as the production comparator because it combines SQL, a Git-style commit graph, and content-addressed Prolly Trees </w:t>
      </w:r>
      <w:hyperlink w:anchor="ref_dolt_block" w:history="1">
        <w:r>
          <w:rPr>
            <w:rStyle w:val="Hyperlink"/>
          </w:rPr>
          <w:t>(DoltHub, 2024)</w:t>
        </w:r>
      </w:hyperlink>
      <w:r>
        <w:t xml:space="preserve">, </w:t>
      </w:r>
      <w:hyperlink w:anchor="ref_dolt_prolly" w:history="1">
        <w:r>
          <w:rPr>
            <w:rStyle w:val="Hyperlink"/>
          </w:rPr>
          <w:t>(Sehn, 2024)</w:t>
        </w:r>
      </w:hyperlink>
      <w:r>
        <w:t>. Revon is a smaller research prototype, not a feature-for-feature replacement for Dolt. Our results compare Revon’s in-process Python API with a Dolt CLI workflow; they do not isolate the performance of either tree structure.</w:t>
      </w:r>
    </w:p>
    <w:p w14:paraId="738F0644" w14:textId="77777777" w:rsidR="00E520D1" w:rsidRDefault="00000000">
      <w:pPr>
        <w:pStyle w:val="Heading2"/>
        <w:keepNext/>
        <w:spacing w:before="140" w:after="60"/>
        <w:ind w:firstLine="0"/>
        <w:jc w:val="left"/>
      </w:pPr>
      <w:r>
        <w:rPr>
          <w:rFonts w:ascii="Times New Roman" w:hAnsi="Times New Roman" w:cs="Times New Roman" w:eastAsia="Times New Roman"/>
          <w:b/>
          <w:sz w:val="22"/>
        </w:rPr>
        <w:t>1.1 Research Questions</w:t>
      </w:r>
    </w:p>
    <w:p w14:paraId="50F056E3" w14:textId="77777777" w:rsidR="00E520D1" w:rsidRDefault="00000000">
      <w:pPr>
        <w:pStyle w:val="ListBullet"/>
        <w:keepNext w:val="0"/>
        <w:spacing w:line="272" w:lineRule="exact" w:after="0"/>
        <w:ind w:firstLine="216"/>
        <w:jc w:val="both"/>
      </w:pPr>
      <w:r>
        <w:t>RQ1: How do Revon-H’s latency and storage compare with Snapshot, Log-only, and Dolt across dataset sizes, mutation densities, and update localities?</w:t>
      </w:r>
    </w:p>
    <w:p w14:paraId="2F4229CB" w14:textId="77777777" w:rsidR="00E520D1" w:rsidRDefault="00000000">
      <w:pPr>
        <w:pStyle w:val="ListBullet"/>
        <w:keepNext w:val="0"/>
        <w:spacing w:line="272" w:lineRule="exact" w:after="0"/>
        <w:ind w:firstLine="216"/>
        <w:jc w:val="both"/>
      </w:pPr>
      <w:r>
        <w:t>RQ2: Does choosing between log and Merkle diff improve latency over forced-Merkle Revon-M while preserving correctness?</w:t>
      </w:r>
    </w:p>
    <w:p w14:paraId="184A16BB" w14:textId="77777777" w:rsidR="00E520D1" w:rsidRDefault="00000000">
      <w:pPr>
        <w:pStyle w:val="ListBullet"/>
        <w:keepNext w:val="0"/>
        <w:spacing w:line="272" w:lineRule="exact" w:after="0"/>
        <w:ind w:firstLine="216"/>
        <w:jc w:val="both"/>
      </w:pPr>
      <w:r>
        <w:t>RQ3: How do branching factor and trie depth affect latency, storage, and the amount of work examined?</w:t>
      </w:r>
    </w:p>
    <w:p w14:paraId="6D56D06F" w14:textId="77777777" w:rsidR="00E520D1" w:rsidRDefault="00000000">
      <w:pPr>
        <w:pStyle w:val="Heading2"/>
        <w:keepNext/>
        <w:spacing w:before="140" w:after="60"/>
        <w:ind w:firstLine="0"/>
        <w:jc w:val="left"/>
      </w:pPr>
      <w:r>
        <w:rPr>
          <w:rFonts w:ascii="Times New Roman" w:hAnsi="Times New Roman" w:cs="Times New Roman" w:eastAsia="Times New Roman"/>
          <w:b/>
          <w:sz w:val="22"/>
        </w:rPr>
        <w:t>1.2 Contributions</w:t>
      </w:r>
    </w:p>
    <w:p w14:paraId="36871D9F" w14:textId="77777777" w:rsidR="00E520D1" w:rsidRDefault="00000000">
      <w:pPr>
        <w:pStyle w:val="ListBullet"/>
        <w:keepNext w:val="0"/>
        <w:spacing w:line="272" w:lineRule="exact" w:after="0"/>
        <w:ind w:firstLine="216"/>
        <w:jc w:val="both"/>
      </w:pPr>
      <w:r>
        <w:t>We implement a canonical SHA-256-addressed, fixed-depth trie with incremental rewriting of paths affected by multi-key updates.</w:t>
      </w:r>
    </w:p>
    <w:p w14:paraId="78883ACB" w14:textId="77777777" w:rsidR="00E520D1" w:rsidRDefault="00000000">
      <w:pPr>
        <w:pStyle w:val="ListBullet"/>
        <w:keepNext w:val="0"/>
        <w:spacing w:line="272" w:lineRule="exact" w:after="0"/>
        <w:ind w:firstLine="216"/>
        <w:jc w:val="both"/>
      </w:pPr>
      <w:r>
        <w:t>We design a hybrid diff policy that combines addressed changesets with hash-pruned tree comparison.</w:t>
      </w:r>
    </w:p>
    <w:p w14:paraId="1D447C61" w14:textId="77777777" w:rsidR="00E520D1" w:rsidRDefault="00000000">
      <w:pPr>
        <w:pStyle w:val="ListBullet"/>
        <w:keepNext w:val="0"/>
        <w:spacing w:line="272" w:lineRule="exact" w:after="0"/>
        <w:ind w:firstLine="216"/>
        <w:jc w:val="both"/>
      </w:pPr>
      <w:r>
        <w:t>We build an atomic SQLite repository for objects, commits, aliases, measurements, and HEAD, and verify object hashes after reopening it.</w:t>
      </w:r>
    </w:p>
    <w:p w14:paraId="676447D0" w14:textId="77777777" w:rsidR="00E520D1" w:rsidRDefault="00000000">
      <w:pPr>
        <w:pStyle w:val="ListBullet"/>
        <w:keepNext w:val="0"/>
        <w:spacing w:line="272" w:lineRule="exact" w:after="0"/>
        <w:ind w:firstLine="216"/>
        <w:jc w:val="both"/>
      </w:pPr>
      <w:r>
        <w:t>We compare five systems on shared deterministic workloads, using common diff and checkout outputs. We report Dolt’s two initial-import workflows separately, randomize and balance execution order, sample process-tree RSS externally, retain raw evidence, and audit its integrity.</w:t>
      </w:r>
    </w:p>
    <w:p w14:paraId="0D23E7B5" w14:textId="77777777" w:rsidR="00E520D1" w:rsidRDefault="00000000">
      <w:pPr>
        <w:pStyle w:val="ListBullet"/>
        <w:keepNext w:val="0"/>
        <w:spacing w:line="272" w:lineRule="exact" w:after="0"/>
        <w:ind w:firstLine="216"/>
        <w:jc w:val="both"/>
      </w:pPr>
      <w:r>
        <w:t>We measure how branching factor and depth affect the fixed trie, rather than assuming that b=8 and d=4 are universally best.</w:t>
      </w:r>
    </w:p>
    <w:p w14:paraId="357CC8DF" w14:textId="77777777" w:rsidR="00E520D1" w:rsidRDefault="00000000">
      <w:pPr>
        <w:pStyle w:val="Heading1"/>
        <w:keepNext/>
        <w:spacing w:before="140" w:after="60"/>
        <w:ind w:firstLine="0"/>
        <w:jc w:val="center"/>
      </w:pPr>
      <w:r>
        <w:rPr>
          <w:rFonts w:ascii="Times New Roman" w:hAnsi="Times New Roman" w:cs="Times New Roman" w:eastAsia="Times New Roman"/>
          <w:b/>
          <w:sz w:val="24"/>
        </w:rPr>
        <w:t>2 RELATED WORK</w:t>
      </w:r>
    </w:p>
    <w:p w14:paraId="0F32DCBF" w14:textId="77777777" w:rsidR="00E520D1" w:rsidRDefault="00000000">
      <w:pPr>
        <w:pStyle w:val="Heading2"/>
        <w:keepNext/>
        <w:spacing w:before="140" w:after="60"/>
        <w:ind w:firstLine="0"/>
        <w:jc w:val="left"/>
      </w:pPr>
      <w:r>
        <w:rPr>
          <w:rFonts w:ascii="Times New Roman" w:hAnsi="Times New Roman" w:cs="Times New Roman" w:eastAsia="Times New Roman"/>
          <w:b/>
          <w:sz w:val="22"/>
        </w:rPr>
        <w:t>2.1 Content Addressing and Persistent Structures</w:t>
      </w:r>
    </w:p>
    <w:p w14:paraId="2D4B34AC" w14:textId="77777777" w:rsidR="00E520D1" w:rsidRDefault="00000000">
      <w:pPr>
        <w:keepNext w:val="0"/>
        <w:spacing w:line="272" w:lineRule="exact" w:after="0"/>
        <w:ind w:firstLine="216"/>
        <w:jc w:val="both"/>
      </w:pPr>
      <w:r>
        <w:t xml:space="preserve">Merkle’s authenticated-tree construction showed that a compact root digest can commit to a larger collection </w:t>
      </w:r>
      <w:hyperlink w:anchor="ref_merkle" w:history="1">
        <w:r>
          <w:rPr>
            <w:rStyle w:val="Hyperlink"/>
          </w:rPr>
          <w:t>(Merkle, 1988)</w:t>
        </w:r>
      </w:hyperlink>
      <w:r>
        <w:t xml:space="preserve">. Git and IPFS apply content addressing to software history and networked content </w:t>
      </w:r>
      <w:hyperlink w:anchor="ref_git" w:history="1">
        <w:r>
          <w:rPr>
            <w:rStyle w:val="Hyperlink"/>
          </w:rPr>
          <w:t>(Chacon and Straub, 2014)</w:t>
        </w:r>
      </w:hyperlink>
      <w:r>
        <w:t xml:space="preserve">, </w:t>
      </w:r>
      <w:hyperlink w:anchor="ref_ipfs" w:history="1">
        <w:r>
          <w:rPr>
            <w:rStyle w:val="Hyperlink"/>
          </w:rPr>
          <w:t>(Benet, 2014)</w:t>
        </w:r>
      </w:hyperlink>
      <w:r>
        <w:t xml:space="preserve">. Persistent-data-structure theory formalized path copying and access to earlier states </w:t>
      </w:r>
      <w:hyperlink w:anchor="ref_persistent" w:history="1">
        <w:r>
          <w:rPr>
            <w:rStyle w:val="Hyperlink"/>
          </w:rPr>
          <w:t>(Driscoll et al., 1989)</w:t>
        </w:r>
      </w:hyperlink>
      <w:r>
        <w:t xml:space="preserve">. Later persistent dictionaries explore ordered, disk-oriented alternatives: stratified B-trees </w:t>
      </w:r>
      <w:hyperlink w:anchor="ref_stratified" w:history="1">
        <w:r>
          <w:rPr>
            <w:rStyle w:val="Hyperlink"/>
          </w:rPr>
          <w:t>(Twigg et al., 2011)</w:t>
        </w:r>
      </w:hyperlink>
      <w:r>
        <w:t xml:space="preserve"> and fully persistent B-trees </w:t>
      </w:r>
      <w:hyperlink w:anchor="ref_fully_persistent_btree" w:history="1">
        <w:r>
          <w:rPr>
            <w:rStyle w:val="Hyperlink"/>
          </w:rPr>
          <w:t>(Brodal et al., 2020)</w:t>
        </w:r>
      </w:hyperlink>
      <w:r>
        <w:t xml:space="preserve">. Revon instead routes hashed keys through a fixed-depth trie, trading ordered range access for hash-pruned comparison. Scientific array systems such as SciDB and TimeArr preserve versions using array-specific storage layouts and deltas </w:t>
      </w:r>
      <w:hyperlink w:anchor="ref_scidb_version" w:history="1">
        <w:r>
          <w:rPr>
            <w:rStyle w:val="Hyperlink"/>
          </w:rPr>
          <w:t>(Seering et al., 2012)</w:t>
        </w:r>
      </w:hyperlink>
      <w:r>
        <w:t xml:space="preserve">, </w:t>
      </w:r>
      <w:hyperlink w:anchor="ref_timearr" w:history="1">
        <w:r>
          <w:rPr>
            <w:rStyle w:val="Hyperlink"/>
          </w:rPr>
          <w:t>(Soroush and Balazinska, 2013)</w:t>
        </w:r>
      </w:hyperlink>
      <w:r>
        <w:t xml:space="preserve">. TardisDB integrates version access with a main-memory database, while Saquib et al. study replicated versioned structures across wide-area systems </w:t>
      </w:r>
      <w:hyperlink w:anchor="ref_replicated_versioned" w:history="1">
        <w:r>
          <w:rPr>
            <w:rStyle w:val="Hyperlink"/>
          </w:rPr>
          <w:t>(Saquib et al., 2023)</w:t>
        </w:r>
      </w:hyperlink>
      <w:r>
        <w:t xml:space="preserve">, </w:t>
      </w:r>
      <w:hyperlink w:anchor="ref_tardisdb" w:history="1">
        <w:r>
          <w:rPr>
            <w:rStyle w:val="Hyperlink"/>
          </w:rPr>
          <w:t>(Schüle et al., 2019)</w:t>
        </w:r>
      </w:hyperlink>
      <w:r>
        <w:t>. These systems illuminate adjacent design choices, but they do not compare Revon’s log and Merkle diff paths over the same history.</w:t>
      </w:r>
    </w:p>
    <w:p w14:paraId="3930878C" w14:textId="77777777" w:rsidR="00E520D1" w:rsidRDefault="00000000">
      <w:pPr>
        <w:keepNext w:val="0"/>
        <w:spacing w:line="272" w:lineRule="exact" w:after="0"/>
        <w:ind w:firstLine="216"/>
        <w:jc w:val="both"/>
      </w:pPr>
      <w:r>
        <w:t xml:space="preserve">Merkle Search Trees combine search-tree ordering with Merkle authentication to reconcile state </w:t>
      </w:r>
      <w:hyperlink w:anchor="ref_mst" w:history="1">
        <w:r>
          <w:rPr>
            <w:rStyle w:val="Hyperlink"/>
          </w:rPr>
          <w:t>(Auvolat and Taïani, 2019)</w:t>
        </w:r>
      </w:hyperlink>
      <w:r>
        <w:t xml:space="preserve">. Revon also prunes comparisons by hash, but uses fixed-depth routing and a centralized linear history rather than a replicated CRDT. LBFS introduced content-defined chunking for redundancy detection </w:t>
      </w:r>
      <w:hyperlink w:anchor="ref_lbfs" w:history="1">
        <w:r>
          <w:rPr>
            <w:rStyle w:val="Hyperlink"/>
          </w:rPr>
          <w:t>(Muthitacharoen et al., 2001)</w:t>
        </w:r>
      </w:hyperlink>
      <w:r>
        <w:t>; Dolt and Noms use related boundary strategies. Ordered indexes preserve range operations, while content-defined boundaries can improve deduplication when data shifts. Revon’s current benchmark measures neither capability.</w:t>
      </w:r>
    </w:p>
    <w:p w14:paraId="15CCD044" w14:textId="77777777" w:rsidR="00E520D1" w:rsidRDefault="00000000">
      <w:pPr>
        <w:pStyle w:val="Heading2"/>
        <w:keepNext/>
        <w:spacing w:before="140" w:after="60"/>
        <w:ind w:firstLine="0"/>
        <w:jc w:val="left"/>
      </w:pPr>
      <w:r>
        <w:rPr>
          <w:rFonts w:ascii="Times New Roman" w:hAnsi="Times New Roman" w:cs="Times New Roman" w:eastAsia="Times New Roman"/>
          <w:b/>
          <w:sz w:val="22"/>
        </w:rPr>
        <w:t>2.2 Structured Dataset Versioning</w:t>
      </w:r>
    </w:p>
    <w:p w14:paraId="6D5E8256" w14:textId="77777777" w:rsidR="00E520D1" w:rsidRDefault="00000000">
      <w:pPr>
        <w:keepNext w:val="0"/>
        <w:spacing w:line="272" w:lineRule="exact" w:after="0"/>
        <w:ind w:firstLine="216"/>
        <w:jc w:val="both"/>
      </w:pPr>
      <w:r>
        <w:t xml:space="preserve">Dataset-versioning research covers collaboration, storage layout, and retrieval. DataHub studies collaborative dataset history at scale </w:t>
      </w:r>
      <w:hyperlink w:anchor="ref_datahub" w:history="1">
        <w:r>
          <w:rPr>
            <w:rStyle w:val="Hyperlink"/>
          </w:rPr>
          <w:t>(Bhardwaj et al., 2015)</w:t>
        </w:r>
      </w:hyperlink>
      <w:r>
        <w:t xml:space="preserve">. Decibel brings branching into a relational engine and compares version-first, tuple-first, and hybrid layouts </w:t>
      </w:r>
      <w:hyperlink w:anchor="ref_decibel" w:history="1">
        <w:r>
          <w:rPr>
            <w:rStyle w:val="Hyperlink"/>
          </w:rPr>
          <w:t>(Maddox et al., 2016)</w:t>
        </w:r>
      </w:hyperlink>
      <w:r>
        <w:t xml:space="preserve">. OrpheusDB adds versioning to a conventional DBMS and optimizes version retrieval through partitioning </w:t>
      </w:r>
      <w:hyperlink w:anchor="ref_orpheus" w:history="1">
        <w:r>
          <w:rPr>
            <w:rStyle w:val="Hyperlink"/>
          </w:rPr>
          <w:t>(Huang et al., 2017)</w:t>
        </w:r>
      </w:hyperlink>
      <w:r>
        <w:t xml:space="preserve">. Bhattacherjee et al. formalize the storage-versus-reconstruction trade-off </w:t>
      </w:r>
      <w:hyperlink w:anchor="ref_versioning" w:history="1">
        <w:r>
          <w:rPr>
            <w:rStyle w:val="Hyperlink"/>
          </w:rPr>
          <w:t>(Bhattacherjee et al., 2015)</w:t>
        </w:r>
      </w:hyperlink>
      <w:r>
        <w:t xml:space="preserve">, while Delta Lake uses transaction logs and checkpoints for ACID tables </w:t>
      </w:r>
      <w:hyperlink w:anchor="ref_delta" w:history="1">
        <w:r>
          <w:rPr>
            <w:rStyle w:val="Hyperlink"/>
          </w:rPr>
          <w:t>(Armbrust et al., 2020)</w:t>
        </w:r>
      </w:hyperlink>
      <w:r>
        <w:t xml:space="preserve">. More recent work studies how to choose materialized versions and deltas over a version graph, subject to storage and retrieval costs </w:t>
      </w:r>
      <w:hyperlink w:anchor="ref_graph_versioning" w:history="1">
        <w:r>
          <w:rPr>
            <w:rStyle w:val="Hyperlink"/>
          </w:rPr>
          <w:t>(Guo et al., 2024)</w:t>
        </w:r>
      </w:hyperlink>
      <w:r>
        <w:t xml:space="preserve">. A FAIR-compliant proposal focuses on identifying and describing dataset releases consistently </w:t>
      </w:r>
      <w:hyperlink w:anchor="ref_fair_versioning" w:history="1">
        <w:r>
          <w:rPr>
            <w:rStyle w:val="Hyperlink"/>
          </w:rPr>
          <w:t>(González-Cebrián et al., 2024)</w:t>
        </w:r>
      </w:hyperlink>
      <w:r>
        <w:t>; it complements storage research but does not provide a diff algorithm. Revon addresses a narrower question with a key/value prototype and does not solve these broader dataset-management problems.</w:t>
      </w:r>
    </w:p>
    <w:p w14:paraId="5DBB21F0" w14:textId="77777777" w:rsidR="00E520D1" w:rsidRDefault="00000000">
      <w:pPr>
        <w:pStyle w:val="Heading2"/>
        <w:keepNext/>
        <w:spacing w:before="140" w:after="60"/>
        <w:ind w:firstLine="0"/>
        <w:jc w:val="left"/>
      </w:pPr>
      <w:r>
        <w:rPr>
          <w:rFonts w:ascii="Times New Roman" w:hAnsi="Times New Roman" w:cs="Times New Roman" w:eastAsia="Times New Roman"/>
          <w:b/>
          <w:sz w:val="22"/>
        </w:rPr>
        <w:t>2.3 System Design Gap</w:t>
      </w:r>
    </w:p>
    <w:p w14:paraId="6F11E866" w14:textId="77777777" w:rsidR="00E520D1" w:rsidRDefault="00000000">
      <w:pPr>
        <w:keepNext w:val="0"/>
        <w:spacing w:line="272" w:lineRule="exact" w:after="0"/>
        <w:ind w:firstLine="216"/>
        <w:jc w:val="both"/>
        <w:sectPr>
          <w:type w:val="continuous"/>
          <w:pgSz w:w="11909" w:h="16834"/>
          <w:pgMar w:top="1440" w:right="1440" w:bottom="1440" w:left="1440" w:header="360" w:footer="360" w:gutter="0"/>
          <w:cols w:num="2" w:space="340" w:equalWidth="1"/>
        </w:sectPr>
      </w:pPr>
      <w:r>
        <w:t xml:space="preserve">Noms stores structured values in a Merkle DAG and supports diff and synchronization </w:t>
      </w:r>
      <w:hyperlink w:anchor="ref_noms" w:history="1">
        <w:r>
          <w:rPr>
            <w:rStyle w:val="Hyperlink"/>
          </w:rPr>
          <w:t>(Attic Labs, n.d.)</w:t>
        </w:r>
      </w:hyperlink>
      <w:r>
        <w:t xml:space="preserve">. ForkBase combines content addressing with fork and deduplication semantics </w:t>
      </w:r>
      <w:hyperlink w:anchor="ref_forkbase" w:history="1">
        <w:r>
          <w:rPr>
            <w:rStyle w:val="Hyperlink"/>
          </w:rPr>
          <w:t>(Wang et al., 2018)</w:t>
        </w:r>
      </w:hyperlink>
      <w:r>
        <w:t xml:space="preserve">. Dolt’s content-addressed Prolly Trees combine ordered B-tree-like indexing, structural sharing, and native diff </w:t>
      </w:r>
      <w:hyperlink w:anchor="ref_dolt_block" w:history="1">
        <w:r>
          <w:rPr>
            <w:rStyle w:val="Hyperlink"/>
          </w:rPr>
          <w:t>(DoltHub, 2024)</w:t>
        </w:r>
      </w:hyperlink>
      <w:r>
        <w:t xml:space="preserve">, </w:t>
      </w:r>
      <w:hyperlink w:anchor="ref_dolt_prolly" w:history="1">
        <w:r>
          <w:rPr>
            <w:rStyle w:val="Hyperlink"/>
          </w:rPr>
          <w:t>(Sehn, 2024)</w:t>
        </w:r>
      </w:hyperlink>
      <w:r>
        <w:t xml:space="preserve">. Git4Data is another nearby direction: it presents SQL-level snapshot, branch, diff, and merge operations over a relational engine </w:t>
      </w:r>
      <w:hyperlink w:anchor="ref_git4data" w:history="1">
        <w:r>
          <w:rPr>
            <w:rStyle w:val="Hyperlink"/>
          </w:rPr>
          <w:t>(Gou et al., 2026)</w:t>
        </w:r>
      </w:hyperlink>
      <w:r>
        <w:t>. The available Git4Data manuscript is an arXiv preprint, so we do not treat its results here as peer-reviewed or independently reproduced evidence. Revon has a narrower scope: it is a single-writer, linear-history key/value prototype with fixed-depth hash routing, not a SQL database or branching system.</w:t>
      </w:r>
    </w:p>
    <w:tbl>
      <w:tblPr>
        <w:tblW w:w="9020" w:type="dxa"/>
        <w:jc w:val="center"/>
        <w:tblInd w:w="25" w:type="dxa"/>
        <w:tblLayout w:type="fixed"/>
        <w:tblLook w:val="04A0" w:firstRow="1" w:lastRow="0" w:firstColumn="1" w:lastColumn="0" w:noHBand="0" w:noVBand="1"/>
      </w:tblPr>
      <w:tblGrid>
        <w:gridCol w:w="2100"/>
        <w:gridCol w:w="2300"/>
        <w:gridCol w:w="4620"/>
      </w:tblGrid>
      <w:tr w:rsidR="00E520D1" w14:paraId="5DD74914" w14:textId="77777777">
        <w:trPr>
          <w:cantSplit/>
          <w:tblHeader/>
        </w:trPr>
        <w:tc>
          <w:tcPr>
            <w:tcW w:w="21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System or study</w:t>
            </w:r>
          </w:p>
        </w:tc>
        <w:tc>
          <w:tcPr>
            <w:tcW w:w="23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Representation or focus</w:t>
            </w:r>
          </w:p>
        </w:tc>
        <w:tc>
          <w:tcPr>
            <w:tcW w:w="462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Relevance to Revon</w:t>
            </w:r>
          </w:p>
        </w:tc>
      </w:tr>
      <w:tr w:rsidR="00E520D1" w14:paraId="3D67B7F9"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271B74F6" w14:textId="77777777" w:rsidR="00E520D1" w:rsidRDefault="00000000">
            <w:pPr>
              <w:keepNext/>
              <w:keepLines/>
              <w:spacing w:line="210" w:lineRule="exact"/>
              <w:ind w:firstLine="0"/>
              <w:jc w:val="left"/>
            </w:pPr>
            <w:r>
              <w:rPr>
                <w:rFonts w:eastAsia="Times New Roman" w:cs="Times New Roman" w:ascii="Times New Roman" w:hAnsi="Times New Roman"/>
                <w:sz w:val="18"/>
              </w:rPr>
              <w:t>Persistent DS (Driscoll et al., 1989)</w:t>
            </w:r>
          </w:p>
        </w:tc>
        <w:tc>
          <w:tcPr>
            <w:tcW w:w="2300" w:type="dxa"/>
            <w:tcBorders>
              <w:top w:val="nil"/>
              <w:left w:val="nil"/>
              <w:bottom w:val="nil"/>
              <w:right w:val="nil"/>
            </w:tcBorders>
            <w:tcMar>
              <w:top w:w="16" w:type="dxa"/>
              <w:left w:w="25" w:type="dxa"/>
              <w:bottom w:w="16" w:type="dxa"/>
              <w:right w:w="25" w:type="dxa"/>
            </w:tcMar>
            <w:vAlign w:val="center"/>
          </w:tcPr>
          <w:p w14:paraId="6362BC09" w14:textId="77777777" w:rsidR="00E520D1" w:rsidRDefault="00000000">
            <w:pPr>
              <w:keepNext/>
              <w:keepLines/>
              <w:spacing w:line="210" w:lineRule="exact"/>
              <w:ind w:firstLine="0"/>
              <w:jc w:val="center"/>
            </w:pPr>
            <w:r>
              <w:rPr>
                <w:rFonts w:eastAsia="Times New Roman" w:cs="Times New Roman" w:ascii="Times New Roman" w:hAnsi="Times New Roman"/>
                <w:sz w:val="18"/>
              </w:rPr>
              <w:t>Path copying</w:t>
            </w:r>
          </w:p>
        </w:tc>
        <w:tc>
          <w:tcPr>
            <w:tcW w:w="4620" w:type="dxa"/>
            <w:tcBorders>
              <w:top w:val="nil"/>
              <w:left w:val="nil"/>
              <w:bottom w:val="nil"/>
              <w:right w:val="nil"/>
            </w:tcBorders>
            <w:tcMar>
              <w:top w:w="16" w:type="dxa"/>
              <w:left w:w="25" w:type="dxa"/>
              <w:bottom w:w="16" w:type="dxa"/>
              <w:right w:w="25" w:type="dxa"/>
            </w:tcMar>
            <w:vAlign w:val="center"/>
          </w:tcPr>
          <w:p w14:paraId="5DD487B9" w14:textId="77777777" w:rsidR="00E520D1" w:rsidRDefault="00000000">
            <w:pPr>
              <w:keepNext/>
              <w:keepLines/>
              <w:spacing w:line="210" w:lineRule="exact"/>
              <w:ind w:firstLine="0"/>
              <w:jc w:val="center"/>
            </w:pPr>
            <w:r>
              <w:rPr>
                <w:rFonts w:eastAsia="Times New Roman" w:cs="Times New Roman" w:ascii="Times New Roman" w:hAnsi="Times New Roman"/>
                <w:sz w:val="18"/>
              </w:rPr>
              <w:t>Formal structural-sharing basis</w:t>
            </w:r>
          </w:p>
        </w:tc>
      </w:tr>
      <w:tr w:rsidR="00E520D1" w14:paraId="4F66402B"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4F099749" w14:textId="77777777" w:rsidR="00E520D1" w:rsidRDefault="00000000">
            <w:pPr>
              <w:keepNext/>
              <w:keepLines/>
              <w:spacing w:line="210" w:lineRule="exact"/>
              <w:ind w:firstLine="0"/>
              <w:jc w:val="left"/>
            </w:pPr>
            <w:r>
              <w:rPr>
                <w:rFonts w:eastAsia="Times New Roman" w:cs="Times New Roman" w:ascii="Times New Roman" w:hAnsi="Times New Roman"/>
                <w:sz w:val="18"/>
              </w:rPr>
              <w:t>Git (Chacon and Straub, 2014)</w:t>
            </w:r>
          </w:p>
        </w:tc>
        <w:tc>
          <w:tcPr>
            <w:tcW w:w="2300" w:type="dxa"/>
            <w:tcBorders>
              <w:top w:val="nil"/>
              <w:left w:val="nil"/>
              <w:bottom w:val="nil"/>
              <w:right w:val="nil"/>
            </w:tcBorders>
            <w:tcMar>
              <w:top w:w="16" w:type="dxa"/>
              <w:left w:w="25" w:type="dxa"/>
              <w:bottom w:w="16" w:type="dxa"/>
              <w:right w:w="25" w:type="dxa"/>
            </w:tcMar>
            <w:vAlign w:val="center"/>
          </w:tcPr>
          <w:p w14:paraId="3DFD9E77" w14:textId="77777777" w:rsidR="00E520D1" w:rsidRDefault="00000000">
            <w:pPr>
              <w:keepNext/>
              <w:keepLines/>
              <w:spacing w:line="210" w:lineRule="exact"/>
              <w:ind w:firstLine="0"/>
              <w:jc w:val="center"/>
            </w:pPr>
            <w:r>
              <w:rPr>
                <w:rFonts w:eastAsia="Times New Roman" w:cs="Times New Roman" w:ascii="Times New Roman" w:hAnsi="Times New Roman"/>
                <w:sz w:val="18"/>
              </w:rPr>
              <w:t>Object DAG</w:t>
            </w:r>
          </w:p>
        </w:tc>
        <w:tc>
          <w:tcPr>
            <w:tcW w:w="4620" w:type="dxa"/>
            <w:tcBorders>
              <w:top w:val="nil"/>
              <w:left w:val="nil"/>
              <w:bottom w:val="nil"/>
              <w:right w:val="nil"/>
            </w:tcBorders>
            <w:tcMar>
              <w:top w:w="16" w:type="dxa"/>
              <w:left w:w="25" w:type="dxa"/>
              <w:bottom w:w="16" w:type="dxa"/>
              <w:right w:w="25" w:type="dxa"/>
            </w:tcMar>
            <w:vAlign w:val="center"/>
          </w:tcPr>
          <w:p w14:paraId="45B517FE" w14:textId="77777777" w:rsidR="00E520D1" w:rsidRDefault="00000000">
            <w:pPr>
              <w:keepNext/>
              <w:keepLines/>
              <w:spacing w:line="210" w:lineRule="exact"/>
              <w:ind w:firstLine="0"/>
              <w:jc w:val="center"/>
            </w:pPr>
            <w:r>
              <w:rPr>
                <w:rFonts w:eastAsia="Times New Roman" w:cs="Times New Roman" w:ascii="Times New Roman" w:hAnsi="Times New Roman"/>
                <w:sz w:val="18"/>
              </w:rPr>
              <w:t>Identity and commit ancestry; file-oriented</w:t>
            </w:r>
          </w:p>
        </w:tc>
      </w:tr>
      <w:tr w:rsidR="00E520D1" w14:paraId="4D49E005"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20B883BF" w14:textId="77777777" w:rsidR="00E520D1" w:rsidRDefault="00000000">
            <w:pPr>
              <w:keepNext/>
              <w:keepLines/>
              <w:spacing w:line="210" w:lineRule="exact"/>
              <w:ind w:firstLine="0"/>
              <w:jc w:val="left"/>
            </w:pPr>
            <w:r>
              <w:rPr>
                <w:rFonts w:eastAsia="Times New Roman" w:cs="Times New Roman" w:ascii="Times New Roman" w:hAnsi="Times New Roman"/>
                <w:sz w:val="18"/>
              </w:rPr>
              <w:t>IPFS (Benet, 2014)</w:t>
            </w:r>
          </w:p>
        </w:tc>
        <w:tc>
          <w:tcPr>
            <w:tcW w:w="2300" w:type="dxa"/>
            <w:tcBorders>
              <w:top w:val="nil"/>
              <w:left w:val="nil"/>
              <w:bottom w:val="nil"/>
              <w:right w:val="nil"/>
            </w:tcBorders>
            <w:tcMar>
              <w:top w:w="16" w:type="dxa"/>
              <w:left w:w="25" w:type="dxa"/>
              <w:bottom w:w="16" w:type="dxa"/>
              <w:right w:w="25" w:type="dxa"/>
            </w:tcMar>
            <w:vAlign w:val="center"/>
          </w:tcPr>
          <w:p w14:paraId="61A2ECDC" w14:textId="77777777" w:rsidR="00E520D1" w:rsidRDefault="00000000">
            <w:pPr>
              <w:keepNext/>
              <w:keepLines/>
              <w:spacing w:line="210" w:lineRule="exact"/>
              <w:ind w:firstLine="0"/>
              <w:jc w:val="center"/>
            </w:pPr>
            <w:r>
              <w:rPr>
                <w:rFonts w:eastAsia="Times New Roman" w:cs="Times New Roman" w:ascii="Times New Roman" w:hAnsi="Times New Roman"/>
                <w:sz w:val="18"/>
              </w:rPr>
              <w:t>Merkle DAG</w:t>
            </w:r>
          </w:p>
        </w:tc>
        <w:tc>
          <w:tcPr>
            <w:tcW w:w="4620" w:type="dxa"/>
            <w:tcBorders>
              <w:top w:val="nil"/>
              <w:left w:val="nil"/>
              <w:bottom w:val="nil"/>
              <w:right w:val="nil"/>
            </w:tcBorders>
            <w:tcMar>
              <w:top w:w="16" w:type="dxa"/>
              <w:left w:w="25" w:type="dxa"/>
              <w:bottom w:w="16" w:type="dxa"/>
              <w:right w:w="25" w:type="dxa"/>
            </w:tcMar>
            <w:vAlign w:val="center"/>
          </w:tcPr>
          <w:p w14:paraId="42658FC9" w14:textId="77777777" w:rsidR="00E520D1" w:rsidRDefault="00000000">
            <w:pPr>
              <w:keepNext/>
              <w:keepLines/>
              <w:spacing w:line="210" w:lineRule="exact"/>
              <w:ind w:firstLine="0"/>
              <w:jc w:val="center"/>
            </w:pPr>
            <w:r>
              <w:rPr>
                <w:rFonts w:eastAsia="Times New Roman" w:cs="Times New Roman" w:ascii="Times New Roman" w:hAnsi="Times New Roman"/>
                <w:sz w:val="18"/>
              </w:rPr>
              <w:t>General content-addressed versioning</w:t>
            </w:r>
          </w:p>
        </w:tc>
      </w:tr>
      <w:tr w:rsidR="00E520D1" w14:paraId="69CE7501"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2623FD07" w14:textId="77777777" w:rsidR="00E520D1" w:rsidRDefault="00000000">
            <w:pPr>
              <w:keepNext/>
              <w:keepLines/>
              <w:spacing w:line="210" w:lineRule="exact"/>
              <w:ind w:firstLine="0"/>
              <w:jc w:val="left"/>
            </w:pPr>
            <w:r>
              <w:rPr>
                <w:rFonts w:eastAsia="Times New Roman" w:cs="Times New Roman" w:ascii="Times New Roman" w:hAnsi="Times New Roman"/>
                <w:sz w:val="18"/>
              </w:rPr>
              <w:t>MST (Auvolat and Taïani, 2019)</w:t>
            </w:r>
          </w:p>
        </w:tc>
        <w:tc>
          <w:tcPr>
            <w:tcW w:w="2300" w:type="dxa"/>
            <w:tcBorders>
              <w:top w:val="nil"/>
              <w:left w:val="nil"/>
              <w:bottom w:val="nil"/>
              <w:right w:val="nil"/>
            </w:tcBorders>
            <w:tcMar>
              <w:top w:w="16" w:type="dxa"/>
              <w:left w:w="25" w:type="dxa"/>
              <w:bottom w:w="16" w:type="dxa"/>
              <w:right w:w="25" w:type="dxa"/>
            </w:tcMar>
            <w:vAlign w:val="center"/>
          </w:tcPr>
          <w:p w14:paraId="4DAECDE2" w14:textId="77777777" w:rsidR="00E520D1" w:rsidRDefault="00000000">
            <w:pPr>
              <w:keepNext/>
              <w:keepLines/>
              <w:spacing w:line="210" w:lineRule="exact"/>
              <w:ind w:firstLine="0"/>
              <w:jc w:val="center"/>
            </w:pPr>
            <w:r>
              <w:rPr>
                <w:rFonts w:eastAsia="Times New Roman" w:cs="Times New Roman" w:ascii="Times New Roman" w:hAnsi="Times New Roman"/>
                <w:sz w:val="18"/>
              </w:rPr>
              <w:t>Merkle search tree</w:t>
            </w:r>
          </w:p>
        </w:tc>
        <w:tc>
          <w:tcPr>
            <w:tcW w:w="4620" w:type="dxa"/>
            <w:tcBorders>
              <w:top w:val="nil"/>
              <w:left w:val="nil"/>
              <w:bottom w:val="nil"/>
              <w:right w:val="nil"/>
            </w:tcBorders>
            <w:tcMar>
              <w:top w:w="16" w:type="dxa"/>
              <w:left w:w="25" w:type="dxa"/>
              <w:bottom w:w="16" w:type="dxa"/>
              <w:right w:w="25" w:type="dxa"/>
            </w:tcMar>
            <w:vAlign w:val="center"/>
          </w:tcPr>
          <w:p w14:paraId="461D36DC" w14:textId="77777777" w:rsidR="00E520D1" w:rsidRDefault="00000000">
            <w:pPr>
              <w:keepNext/>
              <w:keepLines/>
              <w:spacing w:line="210" w:lineRule="exact"/>
              <w:ind w:firstLine="0"/>
              <w:jc w:val="center"/>
            </w:pPr>
            <w:r>
              <w:rPr>
                <w:rFonts w:eastAsia="Times New Roman" w:cs="Times New Roman" w:ascii="Times New Roman" w:hAnsi="Times New Roman"/>
                <w:sz w:val="18"/>
              </w:rPr>
              <w:t>Authenticated ordered reconciliation</w:t>
            </w:r>
          </w:p>
        </w:tc>
      </w:tr>
      <w:tr w:rsidR="00E520D1" w14:paraId="02AFE5BB"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306B9476" w14:textId="77777777" w:rsidR="00E520D1" w:rsidRDefault="00000000">
            <w:pPr>
              <w:keepNext/>
              <w:keepLines/>
              <w:spacing w:line="210" w:lineRule="exact"/>
              <w:ind w:firstLine="0"/>
              <w:jc w:val="left"/>
            </w:pPr>
            <w:r>
              <w:rPr>
                <w:rFonts w:eastAsia="Times New Roman" w:cs="Times New Roman" w:ascii="Times New Roman" w:hAnsi="Times New Roman"/>
                <w:sz w:val="18"/>
              </w:rPr>
              <w:t>DataHub (Bhardwaj et al., 2015)</w:t>
            </w:r>
          </w:p>
        </w:tc>
        <w:tc>
          <w:tcPr>
            <w:tcW w:w="2300" w:type="dxa"/>
            <w:tcBorders>
              <w:top w:val="nil"/>
              <w:left w:val="nil"/>
              <w:bottom w:val="nil"/>
              <w:right w:val="nil"/>
            </w:tcBorders>
            <w:tcMar>
              <w:top w:w="16" w:type="dxa"/>
              <w:left w:w="25" w:type="dxa"/>
              <w:bottom w:w="16" w:type="dxa"/>
              <w:right w:w="25" w:type="dxa"/>
            </w:tcMar>
            <w:vAlign w:val="center"/>
          </w:tcPr>
          <w:p w14:paraId="2A2B3854" w14:textId="77777777" w:rsidR="00E520D1" w:rsidRDefault="00000000">
            <w:pPr>
              <w:keepNext/>
              <w:keepLines/>
              <w:spacing w:line="210" w:lineRule="exact"/>
              <w:ind w:firstLine="0"/>
              <w:jc w:val="center"/>
            </w:pPr>
            <w:r>
              <w:rPr>
                <w:rFonts w:eastAsia="Times New Roman" w:cs="Times New Roman" w:ascii="Times New Roman" w:hAnsi="Times New Roman"/>
                <w:sz w:val="18"/>
              </w:rPr>
              <w:t>Version graph</w:t>
            </w:r>
          </w:p>
        </w:tc>
        <w:tc>
          <w:tcPr>
            <w:tcW w:w="4620" w:type="dxa"/>
            <w:tcBorders>
              <w:top w:val="nil"/>
              <w:left w:val="nil"/>
              <w:bottom w:val="nil"/>
              <w:right w:val="nil"/>
            </w:tcBorders>
            <w:tcMar>
              <w:top w:w="16" w:type="dxa"/>
              <w:left w:w="25" w:type="dxa"/>
              <w:bottom w:w="16" w:type="dxa"/>
              <w:right w:w="25" w:type="dxa"/>
            </w:tcMar>
            <w:vAlign w:val="center"/>
          </w:tcPr>
          <w:p w14:paraId="571CB09A" w14:textId="77777777" w:rsidR="00E520D1" w:rsidRDefault="00000000">
            <w:pPr>
              <w:keepNext/>
              <w:keepLines/>
              <w:spacing w:line="210" w:lineRule="exact"/>
              <w:ind w:firstLine="0"/>
              <w:jc w:val="center"/>
            </w:pPr>
            <w:r>
              <w:rPr>
                <w:rFonts w:eastAsia="Times New Roman" w:cs="Times New Roman" w:ascii="Times New Roman" w:hAnsi="Times New Roman"/>
                <w:sz w:val="18"/>
              </w:rPr>
              <w:t>Collaborative dataset motivation</w:t>
            </w:r>
          </w:p>
        </w:tc>
      </w:tr>
      <w:tr w:rsidR="00E520D1" w14:paraId="4BCFE435"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310CEBFC" w14:textId="77777777" w:rsidR="00E520D1" w:rsidRDefault="00000000">
            <w:pPr>
              <w:keepNext/>
              <w:keepLines/>
              <w:spacing w:line="210" w:lineRule="exact"/>
              <w:ind w:firstLine="0"/>
              <w:jc w:val="left"/>
            </w:pPr>
            <w:r>
              <w:rPr>
                <w:rFonts w:eastAsia="Times New Roman" w:cs="Times New Roman" w:ascii="Times New Roman" w:hAnsi="Times New Roman"/>
                <w:sz w:val="18"/>
              </w:rPr>
              <w:t>Decibel (Maddox et al., 2016)</w:t>
            </w:r>
          </w:p>
        </w:tc>
        <w:tc>
          <w:tcPr>
            <w:tcW w:w="2300" w:type="dxa"/>
            <w:tcBorders>
              <w:top w:val="nil"/>
              <w:left w:val="nil"/>
              <w:bottom w:val="nil"/>
              <w:right w:val="nil"/>
            </w:tcBorders>
            <w:tcMar>
              <w:top w:w="16" w:type="dxa"/>
              <w:left w:w="25" w:type="dxa"/>
              <w:bottom w:w="16" w:type="dxa"/>
              <w:right w:w="25" w:type="dxa"/>
            </w:tcMar>
            <w:vAlign w:val="center"/>
          </w:tcPr>
          <w:p w14:paraId="57C5ED1A" w14:textId="77777777" w:rsidR="00E520D1" w:rsidRDefault="00000000">
            <w:pPr>
              <w:keepNext/>
              <w:keepLines/>
              <w:spacing w:line="210" w:lineRule="exact"/>
              <w:ind w:firstLine="0"/>
              <w:jc w:val="center"/>
            </w:pPr>
            <w:r>
              <w:rPr>
                <w:rFonts w:eastAsia="Times New Roman" w:cs="Times New Roman" w:ascii="Times New Roman" w:hAnsi="Times New Roman"/>
                <w:sz w:val="18"/>
              </w:rPr>
              <w:t>Relational layouts</w:t>
            </w:r>
          </w:p>
        </w:tc>
        <w:tc>
          <w:tcPr>
            <w:tcW w:w="4620" w:type="dxa"/>
            <w:tcBorders>
              <w:top w:val="nil"/>
              <w:left w:val="nil"/>
              <w:bottom w:val="nil"/>
              <w:right w:val="nil"/>
            </w:tcBorders>
            <w:tcMar>
              <w:top w:w="16" w:type="dxa"/>
              <w:left w:w="25" w:type="dxa"/>
              <w:bottom w:w="16" w:type="dxa"/>
              <w:right w:w="25" w:type="dxa"/>
            </w:tcMar>
            <w:vAlign w:val="center"/>
          </w:tcPr>
          <w:p w14:paraId="5F25E505" w14:textId="77777777" w:rsidR="00E520D1" w:rsidRDefault="00000000">
            <w:pPr>
              <w:keepNext/>
              <w:keepLines/>
              <w:spacing w:line="210" w:lineRule="exact"/>
              <w:ind w:firstLine="0"/>
              <w:jc w:val="center"/>
            </w:pPr>
            <w:r>
              <w:rPr>
                <w:rFonts w:eastAsia="Times New Roman" w:cs="Times New Roman" w:ascii="Times New Roman" w:hAnsi="Times New Roman"/>
                <w:sz w:val="18"/>
              </w:rPr>
              <w:t>Native database branching</w:t>
            </w:r>
          </w:p>
        </w:tc>
      </w:tr>
      <w:tr w:rsidR="00E520D1" w14:paraId="5CC1462F"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0172949B" w14:textId="77777777" w:rsidR="00E520D1" w:rsidRDefault="00000000">
            <w:pPr>
              <w:keepNext/>
              <w:keepLines/>
              <w:spacing w:line="210" w:lineRule="exact"/>
              <w:ind w:firstLine="0"/>
              <w:jc w:val="left"/>
            </w:pPr>
            <w:r>
              <w:rPr>
                <w:rFonts w:eastAsia="Times New Roman" w:cs="Times New Roman" w:ascii="Times New Roman" w:hAnsi="Times New Roman"/>
                <w:sz w:val="18"/>
              </w:rPr>
              <w:t>OrpheusDB (Huang et al., 2017)</w:t>
            </w:r>
          </w:p>
        </w:tc>
        <w:tc>
          <w:tcPr>
            <w:tcW w:w="2300" w:type="dxa"/>
            <w:tcBorders>
              <w:top w:val="nil"/>
              <w:left w:val="nil"/>
              <w:bottom w:val="nil"/>
              <w:right w:val="nil"/>
            </w:tcBorders>
            <w:tcMar>
              <w:top w:w="16" w:type="dxa"/>
              <w:left w:w="25" w:type="dxa"/>
              <w:bottom w:w="16" w:type="dxa"/>
              <w:right w:w="25" w:type="dxa"/>
            </w:tcMar>
            <w:vAlign w:val="center"/>
          </w:tcPr>
          <w:p w14:paraId="23BBBF80" w14:textId="77777777" w:rsidR="00E520D1" w:rsidRDefault="00000000">
            <w:pPr>
              <w:keepNext/>
              <w:keepLines/>
              <w:spacing w:line="210" w:lineRule="exact"/>
              <w:ind w:firstLine="0"/>
              <w:jc w:val="center"/>
            </w:pPr>
            <w:r>
              <w:rPr>
                <w:rFonts w:eastAsia="Times New Roman" w:cs="Times New Roman" w:ascii="Times New Roman" w:hAnsi="Times New Roman"/>
                <w:sz w:val="18"/>
              </w:rPr>
              <w:t>Partitioned versions</w:t>
            </w:r>
          </w:p>
        </w:tc>
        <w:tc>
          <w:tcPr>
            <w:tcW w:w="4620" w:type="dxa"/>
            <w:tcBorders>
              <w:top w:val="nil"/>
              <w:left w:val="nil"/>
              <w:bottom w:val="nil"/>
              <w:right w:val="nil"/>
            </w:tcBorders>
            <w:tcMar>
              <w:top w:w="16" w:type="dxa"/>
              <w:left w:w="25" w:type="dxa"/>
              <w:bottom w:w="16" w:type="dxa"/>
              <w:right w:w="25" w:type="dxa"/>
            </w:tcMar>
            <w:vAlign w:val="center"/>
          </w:tcPr>
          <w:p w14:paraId="74AE4606" w14:textId="77777777" w:rsidR="00E520D1" w:rsidRDefault="00000000">
            <w:pPr>
              <w:keepNext/>
              <w:keepLines/>
              <w:spacing w:line="210" w:lineRule="exact"/>
              <w:ind w:firstLine="0"/>
              <w:jc w:val="center"/>
            </w:pPr>
            <w:r>
              <w:rPr>
                <w:rFonts w:eastAsia="Times New Roman" w:cs="Times New Roman" w:ascii="Times New Roman" w:hAnsi="Times New Roman"/>
                <w:sz w:val="18"/>
              </w:rPr>
              <w:t>Storage/retrieval optimization</w:t>
            </w:r>
          </w:p>
        </w:tc>
      </w:tr>
      <w:tr w:rsidR="00E520D1" w14:paraId="69FA1C1F"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7DAE4DD1" w14:textId="77777777" w:rsidR="00E520D1" w:rsidRDefault="00000000">
            <w:pPr>
              <w:keepNext/>
              <w:keepLines/>
              <w:spacing w:line="210" w:lineRule="exact"/>
              <w:ind w:firstLine="0"/>
              <w:jc w:val="left"/>
            </w:pPr>
            <w:r>
              <w:rPr>
                <w:rFonts w:eastAsia="Times New Roman" w:cs="Times New Roman" w:ascii="Times New Roman" w:hAnsi="Times New Roman"/>
                <w:sz w:val="18"/>
              </w:rPr>
              <w:t>Delta Lake (Armbrust et al., 2020)</w:t>
            </w:r>
          </w:p>
        </w:tc>
        <w:tc>
          <w:tcPr>
            <w:tcW w:w="2300" w:type="dxa"/>
            <w:tcBorders>
              <w:top w:val="nil"/>
              <w:left w:val="nil"/>
              <w:bottom w:val="nil"/>
              <w:right w:val="nil"/>
            </w:tcBorders>
            <w:tcMar>
              <w:top w:w="16" w:type="dxa"/>
              <w:left w:w="25" w:type="dxa"/>
              <w:bottom w:w="16" w:type="dxa"/>
              <w:right w:w="25" w:type="dxa"/>
            </w:tcMar>
            <w:vAlign w:val="center"/>
          </w:tcPr>
          <w:p w14:paraId="22EC357A" w14:textId="77777777" w:rsidR="00E520D1" w:rsidRDefault="00000000">
            <w:pPr>
              <w:keepNext/>
              <w:keepLines/>
              <w:spacing w:line="210" w:lineRule="exact"/>
              <w:ind w:firstLine="0"/>
              <w:jc w:val="center"/>
            </w:pPr>
            <w:r>
              <w:rPr>
                <w:rFonts w:eastAsia="Times New Roman" w:cs="Times New Roman" w:ascii="Times New Roman" w:hAnsi="Times New Roman"/>
                <w:sz w:val="18"/>
              </w:rPr>
              <w:t>Log/checkpoints</w:t>
            </w:r>
          </w:p>
        </w:tc>
        <w:tc>
          <w:tcPr>
            <w:tcW w:w="4620" w:type="dxa"/>
            <w:tcBorders>
              <w:top w:val="nil"/>
              <w:left w:val="nil"/>
              <w:bottom w:val="nil"/>
              <w:right w:val="nil"/>
            </w:tcBorders>
            <w:tcMar>
              <w:top w:w="16" w:type="dxa"/>
              <w:left w:w="25" w:type="dxa"/>
              <w:bottom w:w="16" w:type="dxa"/>
              <w:right w:w="25" w:type="dxa"/>
            </w:tcMar>
            <w:vAlign w:val="center"/>
          </w:tcPr>
          <w:p w14:paraId="5ACC482F" w14:textId="77777777" w:rsidR="00E520D1" w:rsidRDefault="00000000">
            <w:pPr>
              <w:keepNext/>
              <w:keepLines/>
              <w:spacing w:line="210" w:lineRule="exact"/>
              <w:ind w:firstLine="0"/>
              <w:jc w:val="center"/>
            </w:pPr>
            <w:r>
              <w:rPr>
                <w:rFonts w:eastAsia="Times New Roman" w:cs="Times New Roman" w:ascii="Times New Roman" w:hAnsi="Times New Roman"/>
                <w:sz w:val="18"/>
              </w:rPr>
              <w:t>ACID time travel at data-lake scale</w:t>
            </w:r>
          </w:p>
        </w:tc>
      </w:tr>
      <w:tr w:rsidR="00E520D1" w14:paraId="0475C7A6"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3B15C46D" w14:textId="77777777" w:rsidR="00E520D1" w:rsidRDefault="00000000">
            <w:pPr>
              <w:keepNext/>
              <w:keepLines/>
              <w:spacing w:line="210" w:lineRule="exact"/>
              <w:ind w:firstLine="0"/>
              <w:jc w:val="left"/>
            </w:pPr>
            <w:r>
              <w:rPr>
                <w:rFonts w:eastAsia="Times New Roman" w:cs="Times New Roman" w:ascii="Times New Roman" w:hAnsi="Times New Roman"/>
                <w:sz w:val="18"/>
              </w:rPr>
              <w:t>Noms (Attic Labs, n.d.)</w:t>
            </w:r>
          </w:p>
        </w:tc>
        <w:tc>
          <w:tcPr>
            <w:tcW w:w="2300" w:type="dxa"/>
            <w:tcBorders>
              <w:top w:val="nil"/>
              <w:left w:val="nil"/>
              <w:bottom w:val="nil"/>
              <w:right w:val="nil"/>
            </w:tcBorders>
            <w:tcMar>
              <w:top w:w="16" w:type="dxa"/>
              <w:left w:w="25" w:type="dxa"/>
              <w:bottom w:w="16" w:type="dxa"/>
              <w:right w:w="25" w:type="dxa"/>
            </w:tcMar>
            <w:vAlign w:val="center"/>
          </w:tcPr>
          <w:p w14:paraId="4D1D6A68" w14:textId="77777777" w:rsidR="00E520D1" w:rsidRDefault="00000000">
            <w:pPr>
              <w:keepNext/>
              <w:keepLines/>
              <w:spacing w:line="210" w:lineRule="exact"/>
              <w:ind w:firstLine="0"/>
              <w:jc w:val="center"/>
            </w:pPr>
            <w:r>
              <w:rPr>
                <w:rFonts w:eastAsia="Times New Roman" w:cs="Times New Roman" w:ascii="Times New Roman" w:hAnsi="Times New Roman"/>
                <w:sz w:val="18"/>
              </w:rPr>
              <w:t>Merkle DAG</w:t>
            </w:r>
          </w:p>
        </w:tc>
        <w:tc>
          <w:tcPr>
            <w:tcW w:w="4620" w:type="dxa"/>
            <w:tcBorders>
              <w:top w:val="nil"/>
              <w:left w:val="nil"/>
              <w:bottom w:val="nil"/>
              <w:right w:val="nil"/>
            </w:tcBorders>
            <w:tcMar>
              <w:top w:w="16" w:type="dxa"/>
              <w:left w:w="25" w:type="dxa"/>
              <w:bottom w:w="16" w:type="dxa"/>
              <w:right w:w="25" w:type="dxa"/>
            </w:tcMar>
            <w:vAlign w:val="center"/>
          </w:tcPr>
          <w:p w14:paraId="7C87E554" w14:textId="77777777" w:rsidR="00E520D1" w:rsidRDefault="00000000">
            <w:pPr>
              <w:keepNext/>
              <w:keepLines/>
              <w:spacing w:line="210" w:lineRule="exact"/>
              <w:ind w:firstLine="0"/>
              <w:jc w:val="center"/>
            </w:pPr>
            <w:r>
              <w:rPr>
                <w:rFonts w:eastAsia="Times New Roman" w:cs="Times New Roman" w:ascii="Times New Roman" w:hAnsi="Times New Roman"/>
                <w:sz w:val="18"/>
              </w:rPr>
              <w:t>Structured content addressing</w:t>
            </w:r>
          </w:p>
        </w:tc>
      </w:tr>
      <w:tr w:rsidR="00E520D1" w14:paraId="3ACF2D07"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3578CFCC" w14:textId="77777777" w:rsidR="00E520D1" w:rsidRDefault="00000000">
            <w:pPr>
              <w:keepNext/>
              <w:keepLines/>
              <w:spacing w:line="210" w:lineRule="exact"/>
              <w:ind w:firstLine="0"/>
              <w:jc w:val="left"/>
            </w:pPr>
            <w:r>
              <w:rPr>
                <w:rFonts w:eastAsia="Times New Roman" w:cs="Times New Roman" w:ascii="Times New Roman" w:hAnsi="Times New Roman"/>
                <w:sz w:val="18"/>
              </w:rPr>
              <w:t>ForkBase (Wang et al., 2018)</w:t>
            </w:r>
          </w:p>
        </w:tc>
        <w:tc>
          <w:tcPr>
            <w:tcW w:w="2300" w:type="dxa"/>
            <w:tcBorders>
              <w:top w:val="nil"/>
              <w:left w:val="nil"/>
              <w:bottom w:val="nil"/>
              <w:right w:val="nil"/>
            </w:tcBorders>
            <w:tcMar>
              <w:top w:w="16" w:type="dxa"/>
              <w:left w:w="25" w:type="dxa"/>
              <w:bottom w:w="16" w:type="dxa"/>
              <w:right w:w="25" w:type="dxa"/>
            </w:tcMar>
            <w:vAlign w:val="center"/>
          </w:tcPr>
          <w:p w14:paraId="76C88A31" w14:textId="77777777" w:rsidR="00E520D1" w:rsidRDefault="00000000">
            <w:pPr>
              <w:keepNext/>
              <w:keepLines/>
              <w:spacing w:line="210" w:lineRule="exact"/>
              <w:ind w:firstLine="0"/>
              <w:jc w:val="center"/>
            </w:pPr>
            <w:r>
              <w:rPr>
                <w:rFonts w:eastAsia="Times New Roman" w:cs="Times New Roman" w:ascii="Times New Roman" w:hAnsi="Times New Roman"/>
                <w:sz w:val="18"/>
              </w:rPr>
              <w:t>Forkable CAS</w:t>
            </w:r>
          </w:p>
        </w:tc>
        <w:tc>
          <w:tcPr>
            <w:tcW w:w="4620" w:type="dxa"/>
            <w:tcBorders>
              <w:top w:val="nil"/>
              <w:left w:val="nil"/>
              <w:bottom w:val="nil"/>
              <w:right w:val="nil"/>
            </w:tcBorders>
            <w:tcMar>
              <w:top w:w="16" w:type="dxa"/>
              <w:left w:w="25" w:type="dxa"/>
              <w:bottom w:w="16" w:type="dxa"/>
              <w:right w:w="25" w:type="dxa"/>
            </w:tcMar>
            <w:vAlign w:val="center"/>
          </w:tcPr>
          <w:p w14:paraId="066A65C7" w14:textId="77777777" w:rsidR="00E520D1" w:rsidRDefault="00000000">
            <w:pPr>
              <w:keepNext/>
              <w:keepLines/>
              <w:spacing w:line="210" w:lineRule="exact"/>
              <w:ind w:firstLine="0"/>
              <w:jc w:val="center"/>
            </w:pPr>
            <w:r>
              <w:rPr>
                <w:rFonts w:eastAsia="Times New Roman" w:cs="Times New Roman" w:ascii="Times New Roman" w:hAnsi="Times New Roman"/>
                <w:sz w:val="18"/>
              </w:rPr>
              <w:t>Fork and deduplication semantics</w:t>
            </w:r>
          </w:p>
        </w:tc>
      </w:tr>
      <w:tr w:rsidR="00E520D1" w14:paraId="57FBEA8F" w14:textId="77777777">
        <w:trPr>
          <w:cantSplit/>
        </w:trPr>
        <w:tc>
          <w:tcPr>
            <w:tcW w:w="2100" w:type="dxa"/>
            <w:tcBorders>
              <w:top w:val="nil"/>
              <w:left w:val="nil"/>
              <w:bottom w:val="single" w:sz="6" w:space="0" w:color="000000"/>
              <w:right w:val="nil"/>
            </w:tcBorders>
            <w:tcMar>
              <w:top w:w="16" w:type="dxa"/>
              <w:left w:w="25" w:type="dxa"/>
              <w:bottom w:w="16" w:type="dxa"/>
              <w:right w:w="25" w:type="dxa"/>
            </w:tcMar>
            <w:vAlign w:val="center"/>
          </w:tcPr>
          <w:p w14:paraId="38FF460D" w14:textId="77777777" w:rsidR="00E520D1" w:rsidRDefault="00000000">
            <w:pPr>
              <w:keepNext/>
              <w:keepLines/>
              <w:spacing w:line="210" w:lineRule="exact"/>
              <w:ind w:firstLine="0"/>
              <w:jc w:val="left"/>
            </w:pPr>
            <w:r>
              <w:rPr>
                <w:rFonts w:eastAsia="Times New Roman" w:cs="Times New Roman" w:ascii="Times New Roman" w:hAnsi="Times New Roman"/>
                <w:sz w:val="18"/>
              </w:rPr>
              <w:t>DoltHub [2,3]</w:t>
            </w:r>
          </w:p>
        </w:tc>
        <w:tc>
          <w:tcPr>
            <w:tcW w:w="2300" w:type="dxa"/>
            <w:tcBorders>
              <w:top w:val="nil"/>
              <w:left w:val="nil"/>
              <w:bottom w:val="single" w:sz="6" w:space="0" w:color="000000"/>
              <w:right w:val="nil"/>
            </w:tcBorders>
            <w:tcMar>
              <w:top w:w="16" w:type="dxa"/>
              <w:left w:w="25" w:type="dxa"/>
              <w:bottom w:w="16" w:type="dxa"/>
              <w:right w:w="25" w:type="dxa"/>
            </w:tcMar>
            <w:vAlign w:val="center"/>
          </w:tcPr>
          <w:p w14:paraId="342F38C4" w14:textId="77777777" w:rsidR="00E520D1" w:rsidRDefault="00000000">
            <w:pPr>
              <w:keepNext/>
              <w:keepLines/>
              <w:spacing w:line="210" w:lineRule="exact"/>
              <w:ind w:firstLine="0"/>
              <w:jc w:val="center"/>
            </w:pPr>
            <w:r>
              <w:rPr>
                <w:rFonts w:eastAsia="Times New Roman" w:cs="Times New Roman" w:ascii="Times New Roman" w:hAnsi="Times New Roman"/>
                <w:sz w:val="18"/>
              </w:rPr>
              <w:t>Prolly Trees</w:t>
            </w:r>
          </w:p>
        </w:tc>
        <w:tc>
          <w:tcPr>
            <w:tcW w:w="4620" w:type="dxa"/>
            <w:tcBorders>
              <w:top w:val="nil"/>
              <w:left w:val="nil"/>
              <w:bottom w:val="single" w:sz="6" w:space="0" w:color="000000"/>
              <w:right w:val="nil"/>
            </w:tcBorders>
            <w:tcMar>
              <w:top w:w="16" w:type="dxa"/>
              <w:left w:w="25" w:type="dxa"/>
              <w:bottom w:w="16" w:type="dxa"/>
              <w:right w:w="25" w:type="dxa"/>
            </w:tcMar>
            <w:vAlign w:val="center"/>
          </w:tcPr>
          <w:p w14:paraId="12A17B17" w14:textId="77777777" w:rsidR="00E520D1" w:rsidRDefault="00000000">
            <w:pPr>
              <w:keepNext/>
              <w:keepLines/>
              <w:spacing w:line="210" w:lineRule="exact"/>
              <w:ind w:firstLine="0"/>
              <w:jc w:val="center"/>
            </w:pPr>
            <w:r>
              <w:rPr>
                <w:rFonts w:eastAsia="Times New Roman" w:cs="Times New Roman" w:ascii="Times New Roman" w:hAnsi="Times New Roman"/>
                <w:sz w:val="18"/>
              </w:rPr>
              <w:t>Mature production comparator</w:t>
            </w:r>
          </w:p>
        </w:tc>
      </w:tr>
    </w:tbl>
    <w:p w14:paraId="76625B8B" w14:textId="77777777" w:rsidR="00E520D1" w:rsidRDefault="00000000">
      <w:pPr>
        <w:pStyle w:val="Caption"/>
        <w:keepNext/>
        <w:keepLines/>
        <w:spacing w:before="40" w:after="40" w:line="240" w:lineRule="exact"/>
        <w:ind w:firstLine="0"/>
        <w:jc w:val="center"/>
      </w:pPr>
      <w:r>
        <w:t>TABLE I. Related work and the scope of Revon.</w:t>
      </w:r>
    </w:p>
    <w:p>
      <w:pPr>
        <w:keepNext w:val="0"/>
        <w:spacing w:line="272" w:lineRule="exact" w:after="0"/>
        <w:ind w:firstLine="216"/>
        <w:jc w:val="both"/>
        <w:sectPr>
          <w:type w:val="continuous"/>
          <w:pgSz w:w="11909" w:h="16834"/>
          <w:pgMar w:top="1440" w:right="1440" w:bottom="1440" w:left="1440" w:header="360" w:footer="360" w:gutter="0"/>
          <w:cols w:num="1" w:space="0" w:equalWidth="1"/>
        </w:sectPr>
      </w:pPr>
    </w:p>
    <w:p w14:paraId="365EDD68" w14:textId="77777777" w:rsidR="00E520D1" w:rsidRDefault="00000000">
      <w:pPr>
        <w:pStyle w:val="Heading2"/>
        <w:keepNext/>
        <w:spacing w:before="140" w:after="60"/>
        <w:ind w:firstLine="0"/>
        <w:jc w:val="left"/>
      </w:pPr>
      <w:r>
        <w:rPr>
          <w:rFonts w:ascii="Times New Roman" w:hAnsi="Times New Roman" w:cs="Times New Roman" w:eastAsia="Times New Roman"/>
          <w:b/>
          <w:sz w:val="22"/>
        </w:rPr>
        <w:t>2.4 Design Implications and Research Positioning</w:t>
      </w:r>
    </w:p>
    <w:p w14:paraId="7060A6A3" w14:textId="77777777" w:rsidR="00E520D1" w:rsidRDefault="00000000">
      <w:pPr>
        <w:keepNext w:val="0"/>
        <w:spacing w:line="272" w:lineRule="exact" w:after="0"/>
        <w:ind w:firstLine="216"/>
        <w:jc w:val="both"/>
      </w:pPr>
      <w:r>
        <w:t xml:space="preserve">Versioning systems face three recurring costs: retaining history, creating a version, and later reconstructing or comparing versions. Snapshots simplify retrieval by copying unchanged records. Logs defer work until replay or checkpointing. Path copying creates only changed paths and shares the rest </w:t>
      </w:r>
      <w:hyperlink w:anchor="ref_persistent" w:history="1">
        <w:r>
          <w:rPr>
            <w:rStyle w:val="Hyperlink"/>
          </w:rPr>
          <w:t>(Driscoll et al., 1989)</w:t>
        </w:r>
      </w:hyperlink>
      <w:r>
        <w:t xml:space="preserve">, </w:t>
      </w:r>
      <w:hyperlink w:anchor="ref_versioning" w:history="1">
        <w:r>
          <w:rPr>
            <w:rStyle w:val="Hyperlink"/>
          </w:rPr>
          <w:t>(Bhattacherjee et al., 2015)</w:t>
        </w:r>
      </w:hyperlink>
      <w:r>
        <w:t xml:space="preserve">. Decibel and OrpheusDB show that physical layout affects both version creation and retrieval </w:t>
      </w:r>
      <w:hyperlink w:anchor="ref_decibel" w:history="1">
        <w:r>
          <w:rPr>
            <w:rStyle w:val="Hyperlink"/>
          </w:rPr>
          <w:t>(Maddox et al., 2016)</w:t>
        </w:r>
      </w:hyperlink>
      <w:r>
        <w:t xml:space="preserve">, </w:t>
      </w:r>
      <w:hyperlink w:anchor="ref_orpheus" w:history="1">
        <w:r>
          <w:rPr>
            <w:rStyle w:val="Hyperlink"/>
          </w:rPr>
          <w:t>(Huang et al., 2017)</w:t>
        </w:r>
      </w:hyperlink>
      <w:r>
        <w:t xml:space="preserve">; graph-based analyses make the same storage/retrieval trade-off explicit </w:t>
      </w:r>
      <w:hyperlink w:anchor="ref_graph_versioning" w:history="1">
        <w:r>
          <w:rPr>
            <w:rStyle w:val="Hyperlink"/>
          </w:rPr>
          <w:t>(Guo et al., 2024)</w:t>
        </w:r>
      </w:hyperlink>
      <w:r>
        <w:t xml:space="preserve">. Reproducible-research work addresses a separate problem: preserving builds and artifacts for later inspection does not show that one storage algorithm is faster </w:t>
      </w:r>
      <w:hyperlink w:anchor="ref_maneage" w:history="1">
        <w:r>
          <w:rPr>
            <w:rStyle w:val="Hyperlink"/>
          </w:rPr>
          <w:t>(Akhlaghi et al., 2021)</w:t>
        </w:r>
      </w:hyperlink>
      <w:r>
        <w:t>. For that reason, Revon reports import, commit, checkout, diff, and storage measurements separately.</w:t>
      </w:r>
    </w:p>
    <w:p w14:paraId="46E59C79" w14:textId="77777777" w:rsidR="00E520D1" w:rsidRDefault="00000000">
      <w:pPr>
        <w:keepNext w:val="0"/>
        <w:spacing w:line="272" w:lineRule="exact" w:after="0"/>
        <w:ind w:firstLine="216"/>
        <w:jc w:val="both"/>
      </w:pPr>
      <w:r>
        <w:t xml:space="preserve">Different research areas also give “change” different meanings. Differential dataflow incrementally recomputes query results as timestamped inputs change </w:t>
      </w:r>
      <w:hyperlink w:anchor="ref_differential_dataflow" w:history="1">
        <w:r>
          <w:rPr>
            <w:rStyle w:val="Hyperlink"/>
          </w:rPr>
          <w:t>(McSherry et al., 2013)</w:t>
        </w:r>
      </w:hyperlink>
      <w:r>
        <w:t xml:space="preserve">. Data-provenance research asks why and where output facts were derived </w:t>
      </w:r>
      <w:hyperlink w:anchor="ref_provenance_whywhere" w:history="1">
        <w:r>
          <w:rPr>
            <w:rStyle w:val="Hyperlink"/>
          </w:rPr>
          <w:t>(Buneman et al., 2001)</w:t>
        </w:r>
      </w:hyperlink>
      <w:r>
        <w:t xml:space="preserve">, and DSLog stores and queries fine-grained array lineage </w:t>
      </w:r>
      <w:hyperlink w:anchor="ref_dslog" w:history="1">
        <w:r>
          <w:rPr>
            <w:rStyle w:val="Hyperlink"/>
          </w:rPr>
          <w:t>(Zhao and Krishnan, 2024)</w:t>
        </w:r>
      </w:hyperlink>
      <w:r>
        <w:t xml:space="preserve">. Explain-Da-V uses data transformations to explain semantic dataset changes </w:t>
      </w:r>
      <w:hyperlink w:anchor="ref_explain_dav" w:history="1">
        <w:r>
          <w:rPr>
            <w:rStyle w:val="Hyperlink"/>
          </w:rPr>
          <w:t>(Shraga and Miller, 2023)</w:t>
        </w:r>
      </w:hyperlink>
      <w:r>
        <w:t xml:space="preserve">. Baseline uses operation-based differencing that can account for refactorings and schema changes </w:t>
      </w:r>
      <w:hyperlink w:anchor="ref_baseline" w:history="1">
        <w:r>
          <w:rPr>
            <w:rStyle w:val="Hyperlink"/>
          </w:rPr>
          <w:t>(Edwards and Petricek, 2025)</w:t>
        </w:r>
      </w:hyperlink>
      <w:r>
        <w:t>. Revon reports a more limited result: which keys were added, removed, or changed in value between two states. It does not infer causes, transformation lineage, query impact, or schema intent. These systems offer useful context, but their outputs and workloads cannot be compared directly with Revon’s key/value diff timings.</w:t>
      </w:r>
    </w:p>
    <w:p w14:paraId="71B09F1A" w14:textId="77777777" w:rsidR="00E520D1" w:rsidRDefault="00000000">
      <w:pPr>
        <w:keepNext w:val="0"/>
        <w:spacing w:line="272" w:lineRule="exact" w:after="0"/>
        <w:ind w:firstLine="216"/>
        <w:jc w:val="both"/>
      </w:pPr>
      <w:r>
        <w:t xml:space="preserve">Revon’s contribution is a controlled comparison of two correct diff paths over the same durable history, selected using properties of the requested interval. Each Revon-H commit stores both a Merkle root and an addressed changeset, so the choice of diff path does not change version semantics. We hypothesize that log aggregation suits short, sparse intervals and that hash pruning may help after longer operation sequences. The measured crossover depends on the workload and configuration. Work such as Git4Data also shows that database-native version control remains an active area </w:t>
      </w:r>
      <w:hyperlink w:anchor="ref_git4data" w:history="1">
        <w:r>
          <w:rPr>
            <w:rStyle w:val="Hyperlink"/>
          </w:rPr>
          <w:t>(Gou et al., 2026)</w:t>
        </w:r>
      </w:hyperlink>
      <w:r>
        <w:t>, which narrows our claim: Revon evaluates adaptive differencing for a fixed-depth hash trie; it is not a general-purpose data-versioning platform. Snapshot and Log-only remain representation baselines. Our results do not establish performance on public datasets, independent hardware, concurrent workloads, or production systems.</w:t>
      </w:r>
    </w:p>
    <w:p w14:paraId="1FD49DC9" w14:textId="77777777" w:rsidR="00E520D1" w:rsidRDefault="00000000">
      <w:pPr>
        <w:pStyle w:val="Heading1"/>
        <w:keepNext/>
        <w:spacing w:before="140" w:after="60"/>
        <w:ind w:firstLine="0"/>
        <w:jc w:val="center"/>
      </w:pPr>
      <w:r>
        <w:rPr>
          <w:rFonts w:ascii="Times New Roman" w:hAnsi="Times New Roman" w:cs="Times New Roman" w:eastAsia="Times New Roman"/>
          <w:b/>
          <w:sz w:val="24"/>
        </w:rPr>
        <w:t>3 REVON DESIGN</w:t>
      </w:r>
    </w:p>
    <w:p w14:paraId="3AB5ECE1" w14:textId="77777777" w:rsidR="00E520D1" w:rsidRDefault="00000000">
      <w:pPr>
        <w:keepNext w:val="0"/>
        <w:spacing w:before="40" w:line="272" w:lineRule="exact" w:after="0"/>
        <w:ind w:firstLine="216"/>
        <w:jc w:val="both"/>
      </w:pPr>
      <w:r>
        <w:rPr>
          <w:rFonts w:eastAsia="Times New Roman" w:cs="Times New Roman" w:ascii="Times New Roman" w:hAnsi="Times New Roman"/>
          <w:noProof/>
          <w:sz w:val="22"/>
        </w:rPr>
      </w:r>
    </w:p>
    <w:p w14:paraId="3AB5ECE1" w14:textId="77777777" w:rsidR="00E520D1" w:rsidRDefault="00000000">
      <w:pPr>
        <w:keepNext/>
        <w:keepLines/>
        <w:spacing w:before="40" w:line="240" w:lineRule="auto" w:after="0"/>
        <w:ind w:firstLine="0"/>
        <w:jc w:val="center"/>
      </w:pPr>
      <w:r>
        <w:rPr>
          <w:rFonts w:eastAsia="Times New Roman" w:cs="Times New Roman"/>
          <w:noProof/>
        </w:rPr>
        <w:drawing>
          <wp:inline distT="0" distB="0" distL="0" distR="0" wp14:anchorId="413E2FC9" wp14:editId="09BC0E8F">
            <wp:extent cx="3063240" cy="1797100"/>
            <wp:effectExtent l="0" t="0" r="0" b="0"/>
            <wp:docPr id="1" name="Picture 1" descr="Revon layered architecture showing the frontend, REST API, Revon-H core, SQLite object store, and the research contribution boundary." title="Revon layered architecture showing the frontend, REST API, Revon-H core, SQLite object store, and the research contribution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3063240" cy="1797100"/>
                    </a:xfrm>
                    <a:prstGeom prst="rect">
                      <a:avLst/>
                    </a:prstGeom>
                  </pic:spPr>
                </pic:pic>
              </a:graphicData>
            </a:graphic>
          </wp:inline>
        </w:drawing>
      </w:r>
    </w:p>
    <w:p w14:paraId="704D4ACD" w14:textId="77777777" w:rsidR="00E520D1" w:rsidRDefault="00000000">
      <w:pPr>
        <w:pStyle w:val="Caption"/>
        <w:keepNext/>
        <w:keepLines/>
        <w:spacing w:before="40" w:after="40" w:line="240" w:lineRule="exact"/>
        <w:ind w:firstLine="0"/>
        <w:jc w:val="center"/>
      </w:pPr>
      <w:r>
        <w:t>Fig. 1. Revon architecture and research scope.</w:t>
      </w:r>
    </w:p>
    <w:p w14:paraId="603B9D39" w14:textId="77777777" w:rsidR="00E520D1" w:rsidRDefault="00000000">
      <w:pPr>
        <w:pStyle w:val="Heading2"/>
        <w:keepNext/>
        <w:spacing w:before="140" w:after="60"/>
        <w:ind w:firstLine="0"/>
        <w:jc w:val="left"/>
      </w:pPr>
      <w:r>
        <w:rPr>
          <w:rFonts w:ascii="Times New Roman" w:hAnsi="Times New Roman" w:cs="Times New Roman" w:eastAsia="Times New Roman"/>
          <w:b/>
          <w:sz w:val="22"/>
        </w:rPr>
        <w:t>3.1 Addressed Object Model</w:t>
      </w:r>
    </w:p>
    <w:p w14:paraId="6A0B6C32" w14:textId="77777777" w:rsidR="00E520D1" w:rsidRDefault="00000000">
      <w:pPr>
        <w:keepNext w:val="0"/>
        <w:spacing w:line="272" w:lineRule="exact" w:after="0"/>
        <w:ind w:firstLine="216"/>
        <w:jc w:val="both"/>
      </w:pPr>
      <w:r>
        <w:t>Revon serializes trie nodes and changesets as canonical JSON and names each object by its SHA-256 digest. A commit digest covers the root, parent, changeset, message, and timestamp. Labels such as v1 and v2 are readable aliases only; they do not affect object identity. A durable HEAD reference identifies the current commit.</w:t>
      </w:r>
    </w:p>
    <w:p w14:paraId="5342A7DC" w14:textId="77777777" w:rsidR="00E520D1" w:rsidRDefault="00000000">
      <w:pPr>
        <w:pStyle w:val="Heading2"/>
        <w:keepNext/>
        <w:spacing w:before="140" w:after="60"/>
        <w:ind w:firstLine="0"/>
        <w:jc w:val="left"/>
      </w:pPr>
      <w:r>
        <w:rPr>
          <w:rFonts w:ascii="Times New Roman" w:hAnsi="Times New Roman" w:cs="Times New Roman" w:eastAsia="Times New Roman"/>
          <w:b/>
          <w:sz w:val="22"/>
        </w:rPr>
        <w:t>3.2 Fixed-Depth Merkle Hash Trie</w:t>
      </w:r>
    </w:p>
    <w:p w14:paraId="3F2E79C4" w14:textId="77777777" w:rsidR="00E520D1" w:rsidRDefault="00000000">
      <w:pPr>
        <w:keepNext w:val="0"/>
        <w:spacing w:line="272" w:lineRule="exact" w:after="0"/>
        <w:ind w:firstLine="216"/>
        <w:jc w:val="both"/>
      </w:pPr>
      <w:r>
        <w:t>The main experiment uses b=8 and d=4. At each level, Revon reads three bits from SHA-256(key), so twelve routing bits select among 4,096 possible leaf buckets. Each bucket retains the full key, allowing Revon to distinguish keys with the same routing prefix. With uniform hashes, expected bucket occupancy is N/b^d. We evaluate other b,d pairs separately rather than treating this default as optimal.</w:t>
      </w:r>
    </w:p>
    <w:p w14:paraId="75021BAF" w14:textId="77777777" w:rsidR="00E520D1" w:rsidRDefault="00000000">
      <w:pPr>
        <w:pStyle w:val="Heading2"/>
        <w:keepNext/>
        <w:spacing w:before="140" w:after="60"/>
        <w:ind w:firstLine="0"/>
        <w:jc w:val="left"/>
      </w:pPr>
      <w:r>
        <w:rPr>
          <w:rFonts w:ascii="Times New Roman" w:hAnsi="Times New Roman" w:cs="Times New Roman" w:eastAsia="Times New Roman"/>
          <w:b/>
          <w:sz w:val="22"/>
        </w:rPr>
        <w:t>3.3 Incremental Hashing and Commit</w:t>
      </w:r>
    </w:p>
    <w:p w14:paraId="6CECED5A" w14:textId="77777777" w:rsidR="00E520D1" w:rsidRDefault="00000000">
      <w:pPr>
        <w:keepNext w:val="0"/>
        <w:spacing w:line="272" w:lineRule="exact" w:after="0"/>
        <w:ind w:firstLine="216"/>
        <w:jc w:val="both"/>
      </w:pPr>
      <w:r>
        <w:t>Revon canonicalizes each mutation batch, routes the keys, and groups updates that share trie prefixes. It rewrites each affected leaf once, then rebuilds only the ancestor paths that contain changes. Unchanged child hashes are reused in the new internal nodes, which preserves structural sharing. A single SQLite transaction writes the new objects, changeset, commit metadata, version alias, measurements, and updated HEAD. On reopen, Revon verifies the stored payload hashes and references.</w:t>
      </w:r>
    </w:p>
    <w:p w14:paraId="585A7B5F" w14:textId="77777777" w:rsidR="00E520D1" w:rsidRDefault="00000000">
      <w:pPr>
        <w:keepNext w:val="0"/>
        <w:spacing w:before="40" w:line="272" w:lineRule="exact" w:after="0"/>
        <w:ind w:firstLine="216"/>
        <w:jc w:val="both"/>
      </w:pPr>
      <w:r>
        <w:rPr>
          <w:rFonts w:eastAsia="Times New Roman" w:cs="Times New Roman" w:ascii="Times New Roman" w:hAnsi="Times New Roman"/>
          <w:noProof/>
          <w:sz w:val="22"/>
        </w:rPr>
      </w:r>
    </w:p>
    <w:p w14:paraId="585A7B5F" w14:textId="77777777" w:rsidR="00E520D1" w:rsidRDefault="00000000">
      <w:pPr>
        <w:keepNext/>
        <w:keepLines/>
        <w:spacing w:before="40" w:line="240" w:lineRule="auto" w:after="0"/>
        <w:ind w:firstLine="0"/>
        <w:jc w:val="center"/>
      </w:pPr>
      <w:r>
        <w:rPr>
          <w:rFonts w:eastAsia="Times New Roman" w:cs="Times New Roman"/>
          <w:noProof/>
        </w:rPr>
        <w:lastRenderedPageBreak/>
        <w:drawing>
          <wp:inline distT="0" distB="0" distL="0" distR="0" wp14:anchorId="0E8743F1" wp14:editId="76462CAB">
            <wp:extent cx="3063240" cy="1592884"/>
            <wp:effectExtent l="0" t="0" r="0" b="0"/>
            <wp:docPr id="2" name="Picture 2" descr="Incremental commit workflow followed by Revon-H selection between addressed changeset aggregation and hash-pruned Merkle comparison." title="Incremental commit workflow followed by Revon-H selection between addressed changeset aggregation and hash-pruned Merkl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4"/>
                    <a:stretch>
                      <a:fillRect/>
                    </a:stretch>
                  </pic:blipFill>
                  <pic:spPr>
                    <a:xfrm>
                      <a:off x="0" y="0"/>
                      <a:ext cx="3063240" cy="1592884"/>
                    </a:xfrm>
                    <a:prstGeom prst="rect">
                      <a:avLst/>
                    </a:prstGeom>
                  </pic:spPr>
                </pic:pic>
              </a:graphicData>
            </a:graphic>
          </wp:inline>
        </w:drawing>
      </w:r>
    </w:p>
    <w:p w14:paraId="223BD816" w14:textId="77777777" w:rsidR="00E520D1" w:rsidRDefault="00000000">
      <w:pPr>
        <w:pStyle w:val="Caption"/>
        <w:keepNext/>
        <w:keepLines/>
        <w:spacing w:before="40" w:after="40" w:line="240" w:lineRule="exact"/>
        <w:ind w:firstLine="0"/>
        <w:jc w:val="center"/>
      </w:pPr>
      <w:r>
        <w:t>Fig. 2. Commit processing and adaptive diff selection.</w:t>
      </w:r>
    </w:p>
    <w:p w14:paraId="6CDD7F09" w14:textId="77777777" w:rsidR="00E520D1" w:rsidRDefault="00000000">
      <w:pPr>
        <w:pStyle w:val="Heading2"/>
        <w:keepNext/>
        <w:spacing w:before="140" w:after="60"/>
        <w:ind w:firstLine="0"/>
        <w:jc w:val="left"/>
      </w:pPr>
      <w:r>
        <w:rPr>
          <w:rFonts w:ascii="Times New Roman" w:hAnsi="Times New Roman" w:cs="Times New Roman" w:eastAsia="Times New Roman"/>
          <w:b/>
          <w:sz w:val="22"/>
        </w:rPr>
        <w:t>3.4 Hybrid Diff</w:t>
      </w:r>
    </w:p>
    <w:p w14:paraId="085F5B35" w14:textId="77777777" w:rsidR="00E520D1" w:rsidRDefault="00000000">
      <w:pPr>
        <w:keepNext w:val="0"/>
        <w:spacing w:line="272" w:lineRule="exact" w:after="0"/>
        <w:ind w:firstLine="216"/>
        <w:jc w:val="both"/>
      </w:pPr>
      <w:r>
        <w:t>The log path walks the commit ancestry and aggregates key operations. The Merkle path compares roots recursively, skips subtrees with matching hashes, and examines full leaf entries only under changed paths. Revon-H counts the operations in the requested interval and uses the log path at or below 4,096 operations; above that threshold, it uses Merkle comparison. Revon-M always uses the Merkle path and serves as the ablation.</w:t>
      </w:r>
    </w:p>
    <w:p w14:paraId="4D3AB920" w14:textId="77777777" w:rsidR="00E520D1" w:rsidRDefault="00000000">
      <w:pPr>
        <w:pStyle w:val="Heading1"/>
        <w:keepNext/>
        <w:spacing w:before="140" w:after="60"/>
        <w:ind w:firstLine="0"/>
        <w:jc w:val="center"/>
      </w:pPr>
      <w:r>
        <w:rPr>
          <w:rFonts w:ascii="Times New Roman" w:hAnsi="Times New Roman" w:cs="Times New Roman" w:eastAsia="Times New Roman"/>
          <w:b/>
          <w:sz w:val="24"/>
        </w:rPr>
        <w:t>4 EXPERIMENTAL METHODOLOGY</w:t>
      </w:r>
    </w:p>
    <w:p w14:paraId="60DCD54B" w14:textId="77777777" w:rsidR="00E520D1" w:rsidRDefault="00000000">
      <w:pPr>
        <w:pStyle w:val="Heading2"/>
        <w:keepNext/>
        <w:spacing w:before="140" w:after="60"/>
        <w:ind w:firstLine="0"/>
        <w:jc w:val="left"/>
      </w:pPr>
      <w:r>
        <w:rPr>
          <w:rFonts w:ascii="Times New Roman" w:hAnsi="Times New Roman" w:cs="Times New Roman" w:eastAsia="Times New Roman"/>
          <w:b/>
          <w:sz w:val="22"/>
        </w:rPr>
        <w:t>4.1 Variants and Workloads</w:t>
      </w:r>
    </w:p>
    <w:p w14:paraId="12EF81D4" w14:textId="77777777" w:rsidR="00E520D1" w:rsidRDefault="00000000">
      <w:pPr>
        <w:keepNext w:val="0"/>
        <w:spacing w:line="272" w:lineRule="exact" w:after="0"/>
        <w:ind w:firstLine="216"/>
        <w:jc w:val="both"/>
        <w:sectPr>
          <w:type w:val="continuous"/>
          <w:pgSz w:w="11909" w:h="16834"/>
          <w:pgMar w:top="1440" w:right="1440" w:bottom="1440" w:left="1440" w:header="360" w:footer="360" w:gutter="0"/>
          <w:cols w:num="2" w:space="340" w:equalWidth="1"/>
        </w:sectPr>
      </w:pPr>
      <w:r>
        <w:t>We compare five systems on the same logical states and mutation batches: Snapshot stores a complete copy per version; Log-only stores an initial state and operation log; Revon-M forces Merkle diff; Revon-H selects its diff path adaptively; and Dolt 2.3.1 uses a keyed SQL table and native JSON diff. We measure Dolt’s initial import in two ways: batched SQL INSERT and CSV input through dolt table import -r. The CSV workflow includes serialization in its import time. Both import variants use the same Dolt engine for later operations, and we report their import results separately.</w:t>
      </w:r>
    </w:p>
    <w:tbl>
      <w:tblPr>
        <w:tblW w:w="9020" w:type="dxa"/>
        <w:jc w:val="center"/>
        <w:tblLayout w:type="fixed"/>
        <w:tblLook w:val="04A0" w:firstRow="1" w:lastRow="0" w:firstColumn="1" w:lastColumn="0" w:noHBand="0" w:noVBand="1"/>
      </w:tblPr>
      <w:tblGrid>
        <w:gridCol w:w="1950"/>
        <w:gridCol w:w="1100"/>
        <w:gridCol w:w="1300"/>
        <w:gridCol w:w="1450"/>
        <w:gridCol w:w="3220"/>
      </w:tblGrid>
      <w:tr w:rsidR="00E520D1" w14:paraId="02C21659" w14:textId="77777777">
        <w:trPr>
          <w:cantSplit/>
          <w:tblHeader/>
          <w:jc w:val="center"/>
        </w:trPr>
        <w:tc>
          <w:tcPr>
            <w:tcW w:w="195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Scenario</w:t>
            </w:r>
          </w:p>
        </w:tc>
        <w:tc>
          <w:tcPr>
            <w:tcW w:w="11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Rows</w:t>
            </w:r>
          </w:p>
        </w:tc>
        <w:tc>
          <w:tcPr>
            <w:tcW w:w="13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Commits</w:t>
            </w:r>
          </w:p>
        </w:tc>
        <w:tc>
          <w:tcPr>
            <w:tcW w:w="145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Changed keys</w:t>
            </w:r>
          </w:p>
        </w:tc>
        <w:tc>
          <w:tcPr>
            <w:tcW w:w="322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Update locality</w:t>
            </w:r>
          </w:p>
        </w:tc>
      </w:tr>
      <w:tr w:rsidR="00E520D1" w14:paraId="1B9531FB"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6AE00B1A" w14:textId="77777777" w:rsidR="00E520D1" w:rsidRDefault="00000000">
            <w:pPr>
              <w:keepNext/>
              <w:keepLines/>
              <w:spacing w:line="210" w:lineRule="exact"/>
              <w:ind w:firstLine="0"/>
              <w:jc w:val="left"/>
            </w:pPr>
            <w:r>
              <w:rPr>
                <w:rFonts w:eastAsia="Times New Roman" w:cs="Times New Roman" w:ascii="Times New Roman" w:hAnsi="Times New Roman"/>
                <w:sz w:val="18"/>
              </w:rPr>
              <w:t>Small sparse</w:t>
            </w:r>
          </w:p>
        </w:tc>
        <w:tc>
          <w:tcPr>
            <w:tcW w:w="1100" w:type="dxa"/>
            <w:tcBorders>
              <w:top w:val="nil"/>
              <w:left w:val="nil"/>
              <w:bottom w:val="nil"/>
              <w:right w:val="nil"/>
            </w:tcBorders>
            <w:tcMar>
              <w:top w:w="16" w:type="dxa"/>
              <w:left w:w="25" w:type="dxa"/>
              <w:bottom w:w="16" w:type="dxa"/>
              <w:right w:w="25" w:type="dxa"/>
            </w:tcMar>
            <w:vAlign w:val="center"/>
          </w:tcPr>
          <w:p w14:paraId="3016DC2F" w14:textId="77777777" w:rsidR="00E520D1" w:rsidRDefault="00000000">
            <w:pPr>
              <w:keepNext/>
              <w:keepLines/>
              <w:spacing w:line="210" w:lineRule="exact"/>
              <w:ind w:firstLine="0"/>
              <w:jc w:val="center"/>
            </w:pPr>
            <w:r>
              <w:rPr>
                <w:rFonts w:eastAsia="Times New Roman" w:cs="Times New Roman" w:ascii="Times New Roman" w:hAnsi="Times New Roman"/>
                <w:sz w:val="18"/>
              </w:rPr>
              <w:t>1,000</w:t>
            </w:r>
          </w:p>
        </w:tc>
        <w:tc>
          <w:tcPr>
            <w:tcW w:w="1300" w:type="dxa"/>
            <w:tcBorders>
              <w:top w:val="nil"/>
              <w:left w:val="nil"/>
              <w:bottom w:val="nil"/>
              <w:right w:val="nil"/>
            </w:tcBorders>
            <w:tcMar>
              <w:top w:w="16" w:type="dxa"/>
              <w:left w:w="25" w:type="dxa"/>
              <w:bottom w:w="16" w:type="dxa"/>
              <w:right w:w="25" w:type="dxa"/>
            </w:tcMar>
            <w:vAlign w:val="center"/>
          </w:tcPr>
          <w:p w14:paraId="7809CBAA" w14:textId="77777777" w:rsidR="00E520D1" w:rsidRDefault="00000000">
            <w:pPr>
              <w:keepNext/>
              <w:keepLines/>
              <w:spacing w:line="210" w:lineRule="exact"/>
              <w:ind w:firstLine="0"/>
              <w:jc w:val="center"/>
            </w:pPr>
            <w:r>
              <w:rPr>
                <w:rFonts w:eastAsia="Times New Roman" w:cs="Times New Roman" w:ascii="Times New Roman" w:hAnsi="Times New Roman"/>
                <w:sz w:val="18"/>
              </w:rPr>
              <w:t>10</w:t>
            </w:r>
          </w:p>
        </w:tc>
        <w:tc>
          <w:tcPr>
            <w:tcW w:w="1450" w:type="dxa"/>
            <w:tcBorders>
              <w:top w:val="nil"/>
              <w:left w:val="nil"/>
              <w:bottom w:val="nil"/>
              <w:right w:val="nil"/>
            </w:tcBorders>
            <w:tcMar>
              <w:top w:w="16" w:type="dxa"/>
              <w:left w:w="25" w:type="dxa"/>
              <w:bottom w:w="16" w:type="dxa"/>
              <w:right w:w="25" w:type="dxa"/>
            </w:tcMar>
            <w:vAlign w:val="center"/>
          </w:tcPr>
          <w:p w14:paraId="2AD73BBC" w14:textId="77777777" w:rsidR="00E520D1" w:rsidRDefault="00000000">
            <w:pPr>
              <w:keepNext/>
              <w:keepLines/>
              <w:spacing w:line="210" w:lineRule="exact"/>
              <w:ind w:firstLine="0"/>
              <w:jc w:val="center"/>
            </w:pPr>
            <w:r>
              <w:rPr>
                <w:rFonts w:eastAsia="Times New Roman" w:cs="Times New Roman" w:ascii="Times New Roman" w:hAnsi="Times New Roman"/>
                <w:sz w:val="18"/>
              </w:rPr>
              <w:t>10</w:t>
            </w:r>
          </w:p>
        </w:tc>
        <w:tc>
          <w:tcPr>
            <w:tcW w:w="3220" w:type="dxa"/>
            <w:tcBorders>
              <w:top w:val="nil"/>
              <w:left w:val="nil"/>
              <w:bottom w:val="nil"/>
              <w:right w:val="nil"/>
            </w:tcBorders>
            <w:tcMar>
              <w:top w:w="16" w:type="dxa"/>
              <w:left w:w="25" w:type="dxa"/>
              <w:bottom w:w="16" w:type="dxa"/>
              <w:right w:w="25" w:type="dxa"/>
            </w:tcMar>
            <w:vAlign w:val="center"/>
          </w:tcPr>
          <w:p w14:paraId="1E1B6242" w14:textId="77777777" w:rsidR="00E520D1" w:rsidRDefault="00000000">
            <w:pPr>
              <w:keepNext/>
              <w:keepLines/>
              <w:spacing w:line="210" w:lineRule="exact"/>
              <w:ind w:firstLine="0"/>
              <w:jc w:val="center"/>
            </w:pPr>
            <w:r>
              <w:rPr>
                <w:rFonts w:eastAsia="Times New Roman" w:cs="Times New Roman" w:ascii="Times New Roman" w:hAnsi="Times New Roman"/>
                <w:sz w:val="18"/>
              </w:rPr>
              <w:t>spread</w:t>
            </w:r>
          </w:p>
        </w:tc>
      </w:tr>
      <w:tr w:rsidR="00E520D1" w14:paraId="14685DA8"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45AB1FE8" w14:textId="77777777" w:rsidR="00E520D1" w:rsidRDefault="00000000">
            <w:pPr>
              <w:keepNext/>
              <w:keepLines/>
              <w:spacing w:line="210" w:lineRule="exact"/>
              <w:ind w:firstLine="0"/>
              <w:jc w:val="left"/>
            </w:pPr>
            <w:r>
              <w:rPr>
                <w:rFonts w:eastAsia="Times New Roman" w:cs="Times New Roman" w:ascii="Times New Roman" w:hAnsi="Times New Roman"/>
                <w:sz w:val="18"/>
              </w:rPr>
              <w:t>Medium sparse</w:t>
            </w:r>
          </w:p>
        </w:tc>
        <w:tc>
          <w:tcPr>
            <w:tcW w:w="1100" w:type="dxa"/>
            <w:tcBorders>
              <w:top w:val="nil"/>
              <w:left w:val="nil"/>
              <w:bottom w:val="nil"/>
              <w:right w:val="nil"/>
            </w:tcBorders>
            <w:tcMar>
              <w:top w:w="16" w:type="dxa"/>
              <w:left w:w="25" w:type="dxa"/>
              <w:bottom w:w="16" w:type="dxa"/>
              <w:right w:w="25" w:type="dxa"/>
            </w:tcMar>
            <w:vAlign w:val="center"/>
          </w:tcPr>
          <w:p w14:paraId="50F3EA30" w14:textId="77777777" w:rsidR="00E520D1" w:rsidRDefault="00000000">
            <w:pPr>
              <w:keepNext/>
              <w:keepLines/>
              <w:spacing w:line="210" w:lineRule="exact"/>
              <w:ind w:firstLine="0"/>
              <w:jc w:val="center"/>
            </w:pPr>
            <w:r>
              <w:rPr>
                <w:rFonts w:eastAsia="Times New Roman" w:cs="Times New Roman" w:ascii="Times New Roman" w:hAnsi="Times New Roman"/>
                <w:sz w:val="18"/>
              </w:rPr>
              <w:t>10,000</w:t>
            </w:r>
          </w:p>
        </w:tc>
        <w:tc>
          <w:tcPr>
            <w:tcW w:w="1300" w:type="dxa"/>
            <w:tcBorders>
              <w:top w:val="nil"/>
              <w:left w:val="nil"/>
              <w:bottom w:val="nil"/>
              <w:right w:val="nil"/>
            </w:tcBorders>
            <w:tcMar>
              <w:top w:w="16" w:type="dxa"/>
              <w:left w:w="25" w:type="dxa"/>
              <w:bottom w:w="16" w:type="dxa"/>
              <w:right w:w="25" w:type="dxa"/>
            </w:tcMar>
            <w:vAlign w:val="center"/>
          </w:tcPr>
          <w:p w14:paraId="386C0449" w14:textId="77777777" w:rsidR="00E520D1" w:rsidRDefault="00000000">
            <w:pPr>
              <w:keepNext/>
              <w:keepLines/>
              <w:spacing w:line="210" w:lineRule="exact"/>
              <w:ind w:firstLine="0"/>
              <w:jc w:val="center"/>
            </w:pPr>
            <w:r>
              <w:rPr>
                <w:rFonts w:eastAsia="Times New Roman" w:cs="Times New Roman" w:ascii="Times New Roman" w:hAnsi="Times New Roman"/>
                <w:sz w:val="18"/>
              </w:rPr>
              <w:t>10</w:t>
            </w:r>
          </w:p>
        </w:tc>
        <w:tc>
          <w:tcPr>
            <w:tcW w:w="1450" w:type="dxa"/>
            <w:tcBorders>
              <w:top w:val="nil"/>
              <w:left w:val="nil"/>
              <w:bottom w:val="nil"/>
              <w:right w:val="nil"/>
            </w:tcBorders>
            <w:tcMar>
              <w:top w:w="16" w:type="dxa"/>
              <w:left w:w="25" w:type="dxa"/>
              <w:bottom w:w="16" w:type="dxa"/>
              <w:right w:w="25" w:type="dxa"/>
            </w:tcMar>
            <w:vAlign w:val="center"/>
          </w:tcPr>
          <w:p w14:paraId="22ED3DFC" w14:textId="77777777" w:rsidR="00E520D1" w:rsidRDefault="00000000">
            <w:pPr>
              <w:keepNext/>
              <w:keepLines/>
              <w:spacing w:line="210" w:lineRule="exact"/>
              <w:ind w:firstLine="0"/>
              <w:jc w:val="center"/>
            </w:pPr>
            <w:r>
              <w:rPr>
                <w:rFonts w:eastAsia="Times New Roman" w:cs="Times New Roman" w:ascii="Times New Roman" w:hAnsi="Times New Roman"/>
                <w:sz w:val="18"/>
              </w:rPr>
              <w:t>10</w:t>
            </w:r>
          </w:p>
        </w:tc>
        <w:tc>
          <w:tcPr>
            <w:tcW w:w="3220" w:type="dxa"/>
            <w:tcBorders>
              <w:top w:val="nil"/>
              <w:left w:val="nil"/>
              <w:bottom w:val="nil"/>
              <w:right w:val="nil"/>
            </w:tcBorders>
            <w:tcMar>
              <w:top w:w="16" w:type="dxa"/>
              <w:left w:w="25" w:type="dxa"/>
              <w:bottom w:w="16" w:type="dxa"/>
              <w:right w:w="25" w:type="dxa"/>
            </w:tcMar>
            <w:vAlign w:val="center"/>
          </w:tcPr>
          <w:p w14:paraId="026FC1BF" w14:textId="77777777" w:rsidR="00E520D1" w:rsidRDefault="00000000">
            <w:pPr>
              <w:keepNext/>
              <w:keepLines/>
              <w:spacing w:line="210" w:lineRule="exact"/>
              <w:ind w:firstLine="0"/>
              <w:jc w:val="center"/>
            </w:pPr>
            <w:r>
              <w:rPr>
                <w:rFonts w:eastAsia="Times New Roman" w:cs="Times New Roman" w:ascii="Times New Roman" w:hAnsi="Times New Roman"/>
                <w:sz w:val="18"/>
              </w:rPr>
              <w:t>spread</w:t>
            </w:r>
          </w:p>
        </w:tc>
      </w:tr>
      <w:tr w:rsidR="00E520D1" w14:paraId="1B5B6203"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02DDC264" w14:textId="77777777" w:rsidR="00E520D1" w:rsidRDefault="00000000">
            <w:pPr>
              <w:keepNext/>
              <w:keepLines/>
              <w:spacing w:line="210" w:lineRule="exact"/>
              <w:ind w:firstLine="0"/>
              <w:jc w:val="left"/>
            </w:pPr>
            <w:r>
              <w:rPr>
                <w:rFonts w:eastAsia="Times New Roman" w:cs="Times New Roman" w:ascii="Times New Roman" w:hAnsi="Times New Roman"/>
                <w:sz w:val="18"/>
              </w:rPr>
              <w:t>Medium dense</w:t>
            </w:r>
          </w:p>
        </w:tc>
        <w:tc>
          <w:tcPr>
            <w:tcW w:w="1100" w:type="dxa"/>
            <w:tcBorders>
              <w:top w:val="nil"/>
              <w:left w:val="nil"/>
              <w:bottom w:val="nil"/>
              <w:right w:val="nil"/>
            </w:tcBorders>
            <w:tcMar>
              <w:top w:w="16" w:type="dxa"/>
              <w:left w:w="25" w:type="dxa"/>
              <w:bottom w:w="16" w:type="dxa"/>
              <w:right w:w="25" w:type="dxa"/>
            </w:tcMar>
            <w:vAlign w:val="center"/>
          </w:tcPr>
          <w:p w14:paraId="10771DF8" w14:textId="77777777" w:rsidR="00E520D1" w:rsidRDefault="00000000">
            <w:pPr>
              <w:keepNext/>
              <w:keepLines/>
              <w:spacing w:line="210" w:lineRule="exact"/>
              <w:ind w:firstLine="0"/>
              <w:jc w:val="center"/>
            </w:pPr>
            <w:r>
              <w:rPr>
                <w:rFonts w:eastAsia="Times New Roman" w:cs="Times New Roman" w:ascii="Times New Roman" w:hAnsi="Times New Roman"/>
                <w:sz w:val="18"/>
              </w:rPr>
              <w:t>10,000</w:t>
            </w:r>
          </w:p>
        </w:tc>
        <w:tc>
          <w:tcPr>
            <w:tcW w:w="1300" w:type="dxa"/>
            <w:tcBorders>
              <w:top w:val="nil"/>
              <w:left w:val="nil"/>
              <w:bottom w:val="nil"/>
              <w:right w:val="nil"/>
            </w:tcBorders>
            <w:tcMar>
              <w:top w:w="16" w:type="dxa"/>
              <w:left w:w="25" w:type="dxa"/>
              <w:bottom w:w="16" w:type="dxa"/>
              <w:right w:w="25" w:type="dxa"/>
            </w:tcMar>
            <w:vAlign w:val="center"/>
          </w:tcPr>
          <w:p w14:paraId="44C569F2" w14:textId="77777777" w:rsidR="00E520D1" w:rsidRDefault="00000000">
            <w:pPr>
              <w:keepNext/>
              <w:keepLines/>
              <w:spacing w:line="210" w:lineRule="exact"/>
              <w:ind w:firstLine="0"/>
              <w:jc w:val="center"/>
            </w:pPr>
            <w:r>
              <w:rPr>
                <w:rFonts w:eastAsia="Times New Roman" w:cs="Times New Roman" w:ascii="Times New Roman" w:hAnsi="Times New Roman"/>
                <w:sz w:val="18"/>
              </w:rPr>
              <w:t>10</w:t>
            </w:r>
          </w:p>
        </w:tc>
        <w:tc>
          <w:tcPr>
            <w:tcW w:w="1450" w:type="dxa"/>
            <w:tcBorders>
              <w:top w:val="nil"/>
              <w:left w:val="nil"/>
              <w:bottom w:val="nil"/>
              <w:right w:val="nil"/>
            </w:tcBorders>
            <w:tcMar>
              <w:top w:w="16" w:type="dxa"/>
              <w:left w:w="25" w:type="dxa"/>
              <w:bottom w:w="16" w:type="dxa"/>
              <w:right w:w="25" w:type="dxa"/>
            </w:tcMar>
            <w:vAlign w:val="center"/>
          </w:tcPr>
          <w:p w14:paraId="647E31E4" w14:textId="77777777" w:rsidR="00E520D1" w:rsidRDefault="00000000">
            <w:pPr>
              <w:keepNext/>
              <w:keepLines/>
              <w:spacing w:line="210" w:lineRule="exact"/>
              <w:ind w:firstLine="0"/>
              <w:jc w:val="center"/>
            </w:pPr>
            <w:r>
              <w:rPr>
                <w:rFonts w:eastAsia="Times New Roman" w:cs="Times New Roman" w:ascii="Times New Roman" w:hAnsi="Times New Roman"/>
                <w:sz w:val="18"/>
              </w:rPr>
              <w:t>1,000</w:t>
            </w:r>
          </w:p>
        </w:tc>
        <w:tc>
          <w:tcPr>
            <w:tcW w:w="3220" w:type="dxa"/>
            <w:tcBorders>
              <w:top w:val="nil"/>
              <w:left w:val="nil"/>
              <w:bottom w:val="nil"/>
              <w:right w:val="nil"/>
            </w:tcBorders>
            <w:tcMar>
              <w:top w:w="16" w:type="dxa"/>
              <w:left w:w="25" w:type="dxa"/>
              <w:bottom w:w="16" w:type="dxa"/>
              <w:right w:w="25" w:type="dxa"/>
            </w:tcMar>
            <w:vAlign w:val="center"/>
          </w:tcPr>
          <w:p w14:paraId="584CF4E2" w14:textId="77777777" w:rsidR="00E520D1" w:rsidRDefault="00000000">
            <w:pPr>
              <w:keepNext/>
              <w:keepLines/>
              <w:spacing w:line="210" w:lineRule="exact"/>
              <w:ind w:firstLine="0"/>
              <w:jc w:val="center"/>
            </w:pPr>
            <w:r>
              <w:rPr>
                <w:rFonts w:eastAsia="Times New Roman" w:cs="Times New Roman" w:ascii="Times New Roman" w:hAnsi="Times New Roman"/>
                <w:sz w:val="18"/>
              </w:rPr>
              <w:t>spread</w:t>
            </w:r>
          </w:p>
        </w:tc>
      </w:tr>
      <w:tr w:rsidR="00E520D1" w14:paraId="427F092F"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1BCBD3C0" w14:textId="77777777" w:rsidR="00E520D1" w:rsidRDefault="00000000">
            <w:pPr>
              <w:keepNext/>
              <w:keepLines/>
              <w:spacing w:line="210" w:lineRule="exact"/>
              <w:ind w:firstLine="0"/>
              <w:jc w:val="left"/>
            </w:pPr>
            <w:r>
              <w:rPr>
                <w:rFonts w:eastAsia="Times New Roman" w:cs="Times New Roman" w:ascii="Times New Roman" w:hAnsi="Times New Roman"/>
                <w:sz w:val="18"/>
              </w:rPr>
              <w:t>Large sparse</w:t>
            </w:r>
          </w:p>
        </w:tc>
        <w:tc>
          <w:tcPr>
            <w:tcW w:w="1100" w:type="dxa"/>
            <w:tcBorders>
              <w:top w:val="nil"/>
              <w:left w:val="nil"/>
              <w:bottom w:val="nil"/>
              <w:right w:val="nil"/>
            </w:tcBorders>
            <w:tcMar>
              <w:top w:w="16" w:type="dxa"/>
              <w:left w:w="25" w:type="dxa"/>
              <w:bottom w:w="16" w:type="dxa"/>
              <w:right w:w="25" w:type="dxa"/>
            </w:tcMar>
            <w:vAlign w:val="center"/>
          </w:tcPr>
          <w:p w14:paraId="75872B3D" w14:textId="77777777" w:rsidR="00E520D1" w:rsidRDefault="00000000">
            <w:pPr>
              <w:keepNext/>
              <w:keepLines/>
              <w:spacing w:line="210" w:lineRule="exact"/>
              <w:ind w:firstLine="0"/>
              <w:jc w:val="center"/>
            </w:pPr>
            <w:r>
              <w:rPr>
                <w:rFonts w:eastAsia="Times New Roman" w:cs="Times New Roman" w:ascii="Times New Roman" w:hAnsi="Times New Roman"/>
                <w:sz w:val="18"/>
              </w:rPr>
              <w:t>100,000</w:t>
            </w:r>
          </w:p>
        </w:tc>
        <w:tc>
          <w:tcPr>
            <w:tcW w:w="1300" w:type="dxa"/>
            <w:tcBorders>
              <w:top w:val="nil"/>
              <w:left w:val="nil"/>
              <w:bottom w:val="nil"/>
              <w:right w:val="nil"/>
            </w:tcBorders>
            <w:tcMar>
              <w:top w:w="16" w:type="dxa"/>
              <w:left w:w="25" w:type="dxa"/>
              <w:bottom w:w="16" w:type="dxa"/>
              <w:right w:w="25" w:type="dxa"/>
            </w:tcMar>
            <w:vAlign w:val="center"/>
          </w:tcPr>
          <w:p w14:paraId="5D92AFBB" w14:textId="77777777" w:rsidR="00E520D1" w:rsidRDefault="00000000">
            <w:pPr>
              <w:keepNext/>
              <w:keepLines/>
              <w:spacing w:line="210" w:lineRule="exact"/>
              <w:ind w:firstLine="0"/>
              <w:jc w:val="center"/>
            </w:pPr>
            <w:r>
              <w:rPr>
                <w:rFonts w:eastAsia="Times New Roman" w:cs="Times New Roman" w:ascii="Times New Roman" w:hAnsi="Times New Roman"/>
                <w:sz w:val="18"/>
              </w:rPr>
              <w:t>10</w:t>
            </w:r>
          </w:p>
        </w:tc>
        <w:tc>
          <w:tcPr>
            <w:tcW w:w="1450" w:type="dxa"/>
            <w:tcBorders>
              <w:top w:val="nil"/>
              <w:left w:val="nil"/>
              <w:bottom w:val="nil"/>
              <w:right w:val="nil"/>
            </w:tcBorders>
            <w:tcMar>
              <w:top w:w="16" w:type="dxa"/>
              <w:left w:w="25" w:type="dxa"/>
              <w:bottom w:w="16" w:type="dxa"/>
              <w:right w:w="25" w:type="dxa"/>
            </w:tcMar>
            <w:vAlign w:val="center"/>
          </w:tcPr>
          <w:p w14:paraId="5F6C7A6A" w14:textId="77777777" w:rsidR="00E520D1" w:rsidRDefault="00000000">
            <w:pPr>
              <w:keepNext/>
              <w:keepLines/>
              <w:spacing w:line="210" w:lineRule="exact"/>
              <w:ind w:firstLine="0"/>
              <w:jc w:val="center"/>
            </w:pPr>
            <w:r>
              <w:rPr>
                <w:rFonts w:eastAsia="Times New Roman" w:cs="Times New Roman" w:ascii="Times New Roman" w:hAnsi="Times New Roman"/>
                <w:sz w:val="18"/>
              </w:rPr>
              <w:t>100</w:t>
            </w:r>
          </w:p>
        </w:tc>
        <w:tc>
          <w:tcPr>
            <w:tcW w:w="3220" w:type="dxa"/>
            <w:tcBorders>
              <w:top w:val="nil"/>
              <w:left w:val="nil"/>
              <w:bottom w:val="nil"/>
              <w:right w:val="nil"/>
            </w:tcBorders>
            <w:tcMar>
              <w:top w:w="16" w:type="dxa"/>
              <w:left w:w="25" w:type="dxa"/>
              <w:bottom w:w="16" w:type="dxa"/>
              <w:right w:w="25" w:type="dxa"/>
            </w:tcMar>
            <w:vAlign w:val="center"/>
          </w:tcPr>
          <w:p w14:paraId="5FA11A69" w14:textId="77777777" w:rsidR="00E520D1" w:rsidRDefault="00000000">
            <w:pPr>
              <w:keepNext/>
              <w:keepLines/>
              <w:spacing w:line="210" w:lineRule="exact"/>
              <w:ind w:firstLine="0"/>
              <w:jc w:val="center"/>
            </w:pPr>
            <w:r>
              <w:rPr>
                <w:rFonts w:eastAsia="Times New Roman" w:cs="Times New Roman" w:ascii="Times New Roman" w:hAnsi="Times New Roman"/>
                <w:sz w:val="18"/>
              </w:rPr>
              <w:t>spread</w:t>
            </w:r>
          </w:p>
        </w:tc>
      </w:tr>
      <w:tr w:rsidR="00E520D1" w14:paraId="07F27233"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1E901E27" w14:textId="77777777" w:rsidR="00E520D1" w:rsidRDefault="00000000">
            <w:pPr>
              <w:keepNext/>
              <w:keepLines/>
              <w:spacing w:line="210" w:lineRule="exact"/>
              <w:ind w:firstLine="0"/>
              <w:jc w:val="left"/>
            </w:pPr>
            <w:r>
              <w:rPr>
                <w:rFonts w:eastAsia="Times New Roman" w:cs="Times New Roman" w:ascii="Times New Roman" w:hAnsi="Times New Roman"/>
                <w:sz w:val="18"/>
              </w:rPr>
              <w:t>Application-key local</w:t>
            </w:r>
          </w:p>
        </w:tc>
        <w:tc>
          <w:tcPr>
            <w:tcW w:w="1100" w:type="dxa"/>
            <w:tcBorders>
              <w:top w:val="nil"/>
              <w:left w:val="nil"/>
              <w:bottom w:val="nil"/>
              <w:right w:val="nil"/>
            </w:tcBorders>
            <w:tcMar>
              <w:top w:w="16" w:type="dxa"/>
              <w:left w:w="25" w:type="dxa"/>
              <w:bottom w:w="16" w:type="dxa"/>
              <w:right w:w="25" w:type="dxa"/>
            </w:tcMar>
            <w:vAlign w:val="center"/>
          </w:tcPr>
          <w:p w14:paraId="19E17BFD" w14:textId="77777777" w:rsidR="00E520D1" w:rsidRDefault="00000000">
            <w:pPr>
              <w:keepNext/>
              <w:keepLines/>
              <w:spacing w:line="210" w:lineRule="exact"/>
              <w:ind w:firstLine="0"/>
              <w:jc w:val="center"/>
            </w:pPr>
            <w:r>
              <w:rPr>
                <w:rFonts w:eastAsia="Times New Roman" w:cs="Times New Roman" w:ascii="Times New Roman" w:hAnsi="Times New Roman"/>
                <w:sz w:val="18"/>
              </w:rPr>
              <w:t>100,000</w:t>
            </w:r>
          </w:p>
        </w:tc>
        <w:tc>
          <w:tcPr>
            <w:tcW w:w="1300" w:type="dxa"/>
            <w:tcBorders>
              <w:top w:val="nil"/>
              <w:left w:val="nil"/>
              <w:bottom w:val="nil"/>
              <w:right w:val="nil"/>
            </w:tcBorders>
            <w:tcMar>
              <w:top w:w="16" w:type="dxa"/>
              <w:left w:w="25" w:type="dxa"/>
              <w:bottom w:w="16" w:type="dxa"/>
              <w:right w:w="25" w:type="dxa"/>
            </w:tcMar>
            <w:vAlign w:val="center"/>
          </w:tcPr>
          <w:p w14:paraId="7A5E46C3" w14:textId="77777777" w:rsidR="00E520D1" w:rsidRDefault="00000000">
            <w:pPr>
              <w:keepNext/>
              <w:keepLines/>
              <w:spacing w:line="210" w:lineRule="exact"/>
              <w:ind w:firstLine="0"/>
              <w:jc w:val="center"/>
            </w:pPr>
            <w:r>
              <w:rPr>
                <w:rFonts w:eastAsia="Times New Roman" w:cs="Times New Roman" w:ascii="Times New Roman" w:hAnsi="Times New Roman"/>
                <w:sz w:val="18"/>
              </w:rPr>
              <w:t>10</w:t>
            </w:r>
          </w:p>
        </w:tc>
        <w:tc>
          <w:tcPr>
            <w:tcW w:w="1450" w:type="dxa"/>
            <w:tcBorders>
              <w:top w:val="nil"/>
              <w:left w:val="nil"/>
              <w:bottom w:val="nil"/>
              <w:right w:val="nil"/>
            </w:tcBorders>
            <w:tcMar>
              <w:top w:w="16" w:type="dxa"/>
              <w:left w:w="25" w:type="dxa"/>
              <w:bottom w:w="16" w:type="dxa"/>
              <w:right w:w="25" w:type="dxa"/>
            </w:tcMar>
            <w:vAlign w:val="center"/>
          </w:tcPr>
          <w:p w14:paraId="0DCDAD57" w14:textId="77777777" w:rsidR="00E520D1" w:rsidRDefault="00000000">
            <w:pPr>
              <w:keepNext/>
              <w:keepLines/>
              <w:spacing w:line="210" w:lineRule="exact"/>
              <w:ind w:firstLine="0"/>
              <w:jc w:val="center"/>
            </w:pPr>
            <w:r>
              <w:rPr>
                <w:rFonts w:eastAsia="Times New Roman" w:cs="Times New Roman" w:ascii="Times New Roman" w:hAnsi="Times New Roman"/>
                <w:sz w:val="18"/>
              </w:rPr>
              <w:t>100</w:t>
            </w:r>
          </w:p>
        </w:tc>
        <w:tc>
          <w:tcPr>
            <w:tcW w:w="3220" w:type="dxa"/>
            <w:tcBorders>
              <w:top w:val="nil"/>
              <w:left w:val="nil"/>
              <w:bottom w:val="nil"/>
              <w:right w:val="nil"/>
            </w:tcBorders>
            <w:tcMar>
              <w:top w:w="16" w:type="dxa"/>
              <w:left w:w="25" w:type="dxa"/>
              <w:bottom w:w="16" w:type="dxa"/>
              <w:right w:w="25" w:type="dxa"/>
            </w:tcMar>
            <w:vAlign w:val="center"/>
          </w:tcPr>
          <w:p w14:paraId="267F97E2" w14:textId="77777777" w:rsidR="00E520D1" w:rsidRDefault="00000000">
            <w:pPr>
              <w:keepNext/>
              <w:keepLines/>
              <w:spacing w:line="210" w:lineRule="exact"/>
              <w:ind w:firstLine="0"/>
              <w:jc w:val="center"/>
            </w:pPr>
            <w:r>
              <w:rPr>
                <w:rFonts w:eastAsia="Times New Roman" w:cs="Times New Roman" w:ascii="Times New Roman" w:hAnsi="Times New Roman"/>
                <w:sz w:val="18"/>
              </w:rPr>
              <w:t>lexically adjacent keys</w:t>
            </w:r>
          </w:p>
        </w:tc>
      </w:tr>
      <w:tr>
        <w:trPr>
          <w:cantSplit/>
          <w:jc w:val="center"/>
        </w:trPr>
        <w:tc>
          <w:tcPr>
            <w:tcW w:type="dxa" w:w="195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left"/>
            </w:pPr>
            <w:r>
              <w:rPr>
                <w:rFonts w:eastAsia="Times New Roman" w:cs="Times New Roman" w:ascii="Times New Roman" w:hAnsi="Times New Roman"/>
                <w:sz w:val="18"/>
              </w:rPr>
              <w:t>Range local</w:t>
            </w:r>
          </w:p>
        </w:tc>
        <w:tc>
          <w:tcPr>
            <w:tcW w:type="dxa" w:w="110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100,000</w:t>
            </w:r>
          </w:p>
        </w:tc>
        <w:tc>
          <w:tcPr>
            <w:tcW w:type="dxa" w:w="130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10</w:t>
            </w:r>
          </w:p>
        </w:tc>
        <w:tc>
          <w:tcPr>
            <w:tcW w:type="dxa" w:w="145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100</w:t>
            </w:r>
          </w:p>
        </w:tc>
        <w:tc>
          <w:tcPr>
            <w:tcW w:type="dxa" w:w="322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contiguous sorted-key intervals</w:t>
            </w:r>
          </w:p>
        </w:tc>
      </w:tr>
      <w:tr>
        <w:trPr>
          <w:cantSplit/>
          <w:jc w:val="center"/>
        </w:trPr>
        <w:tc>
          <w:tcPr>
            <w:tcW w:type="dxa" w:w="195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left"/>
            </w:pPr>
            <w:r>
              <w:rPr>
                <w:rFonts w:eastAsia="Times New Roman" w:cs="Times New Roman" w:ascii="Times New Roman" w:hAnsi="Times New Roman"/>
                <w:sz w:val="18"/>
              </w:rPr>
              <w:t>Repeated key</w:t>
            </w:r>
          </w:p>
        </w:tc>
        <w:tc>
          <w:tcPr>
            <w:tcW w:type="dxa" w:w="110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100,000</w:t>
            </w:r>
          </w:p>
        </w:tc>
        <w:tc>
          <w:tcPr>
            <w:tcW w:type="dxa" w:w="130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10</w:t>
            </w:r>
          </w:p>
        </w:tc>
        <w:tc>
          <w:tcPr>
            <w:tcW w:type="dxa" w:w="145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100</w:t>
            </w:r>
          </w:p>
        </w:tc>
        <w:tc>
          <w:tcPr>
            <w:tcW w:type="dxa" w:w="322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repeated small key set</w:t>
            </w:r>
          </w:p>
        </w:tc>
      </w:tr>
      <w:tr>
        <w:trPr>
          <w:cantSplit/>
          <w:jc w:val="center"/>
        </w:trPr>
        <w:tc>
          <w:tcPr>
            <w:tcW w:type="dxa" w:w="1950"/>
            <w:tcBorders>
              <w:top w:val="nil"/>
              <w:left w:val="nil"/>
              <w:right w:val="nil"/>
              <w:bottom w:val="single" w:sz="6" w:space="0" w:color="000000"/>
            </w:tcBorders>
            <w:tcMar>
              <w:top w:w="16" w:type="dxa"/>
              <w:left w:w="25" w:type="dxa"/>
              <w:bottom w:w="16" w:type="dxa"/>
              <w:right w:w="25" w:type="dxa"/>
            </w:tcMar>
            <w:vAlign w:val="center"/>
          </w:tcPr>
          <w:p>
            <w:pPr>
              <w:keepNext/>
              <w:keepLines/>
              <w:spacing w:line="210" w:lineRule="exact"/>
              <w:ind w:firstLine="0"/>
              <w:jc w:val="left"/>
            </w:pPr>
            <w:r>
              <w:rPr>
                <w:rFonts w:eastAsia="Times New Roman" w:cs="Times New Roman" w:ascii="Times New Roman" w:hAnsi="Times New Roman"/>
                <w:sz w:val="18"/>
              </w:rPr>
              <w:t>Hash-route local</w:t>
            </w:r>
          </w:p>
        </w:tc>
        <w:tc>
          <w:tcPr>
            <w:tcW w:type="dxa" w:w="1100"/>
            <w:tcBorders>
              <w:top w:val="nil"/>
              <w:left w:val="nil"/>
              <w:right w:val="nil"/>
              <w:bottom w:val="single" w:sz="6" w:space="0" w:color="000000"/>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100,000</w:t>
            </w:r>
          </w:p>
        </w:tc>
        <w:tc>
          <w:tcPr>
            <w:tcW w:type="dxa" w:w="1300"/>
            <w:tcBorders>
              <w:top w:val="nil"/>
              <w:left w:val="nil"/>
              <w:right w:val="nil"/>
              <w:bottom w:val="single" w:sz="6" w:space="0" w:color="000000"/>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10</w:t>
            </w:r>
          </w:p>
        </w:tc>
        <w:tc>
          <w:tcPr>
            <w:tcW w:type="dxa" w:w="1450"/>
            <w:tcBorders>
              <w:top w:val="nil"/>
              <w:left w:val="nil"/>
              <w:right w:val="nil"/>
              <w:bottom w:val="single" w:sz="6" w:space="0" w:color="000000"/>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100</w:t>
            </w:r>
          </w:p>
        </w:tc>
        <w:tc>
          <w:tcPr>
            <w:tcW w:type="dxa" w:w="3220"/>
            <w:tcBorders>
              <w:top w:val="nil"/>
              <w:left w:val="nil"/>
              <w:right w:val="nil"/>
              <w:bottom w:val="single" w:sz="6" w:space="0" w:color="000000"/>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shared 9-bit SHA-256 prefix</w:t>
            </w:r>
          </w:p>
        </w:tc>
      </w:tr>
    </w:tbl>
    <w:p w14:paraId="7B13D1BC" w14:textId="77777777" w:rsidR="00E520D1" w:rsidRDefault="00000000">
      <w:pPr>
        <w:pStyle w:val="Caption"/>
        <w:keepNext/>
        <w:keepLines/>
        <w:pageBreakBefore w:val="0"/>
        <w:spacing w:before="40" w:after="40" w:line="240" w:lineRule="exact"/>
        <w:ind w:firstLine="0"/>
        <w:jc w:val="center"/>
      </w:pPr>
      <w:r>
        <w:t>TABLE II. Workloads used in the final evaluation.</w:t>
      </w:r>
    </w:p>
    <w:p>
      <w:pPr>
        <w:keepNext w:val="0"/>
        <w:spacing w:line="272" w:lineRule="exact" w:after="0"/>
        <w:ind w:firstLine="216"/>
        <w:jc w:val="both"/>
        <w:sectPr>
          <w:type w:val="continuous"/>
          <w:pgSz w:w="11909" w:h="16834"/>
          <w:pgMar w:top="1440" w:right="1440" w:bottom="1440" w:left="1440" w:header="360" w:footer="360" w:gutter="0"/>
          <w:cols w:num="1" w:space="0" w:equalWidth="1"/>
        </w:sectPr>
      </w:pPr>
    </w:p>
    <w:p w14:paraId="426216E0" w14:textId="77777777" w:rsidR="00E520D1" w:rsidRDefault="00000000">
      <w:pPr>
        <w:pStyle w:val="Heading2"/>
        <w:keepNext/>
        <w:spacing w:before="140" w:after="60"/>
        <w:ind w:firstLine="0"/>
        <w:jc w:val="left"/>
      </w:pPr>
      <w:r>
        <w:rPr>
          <w:rFonts w:ascii="Times New Roman" w:hAnsi="Times New Roman" w:cs="Times New Roman" w:eastAsia="Times New Roman"/>
          <w:b/>
          <w:sz w:val="22"/>
        </w:rPr>
        <w:t>4.2 Measurement Contract</w:t>
      </w:r>
    </w:p>
    <w:p w14:paraId="481479B3" w14:textId="77777777" w:rsidR="00E520D1" w:rsidRDefault="00000000">
      <w:pPr>
        <w:keepNext w:val="0"/>
        <w:spacing w:line="272" w:lineRule="exact" w:after="0"/>
        <w:ind w:firstLine="216"/>
        <w:jc w:val="both"/>
      </w:pPr>
      <w:r>
        <w:t>We time initial import through the first durable state. For each trial, incremental-commit time is the median across ten commits. Diff and checkout timers include construction of a common output: diff returns sorted changed keys with old and new SHA-256 value hashes as canonical JSON, while checkout returns the full sorted key/value state as canonical UTF-8 JSON. Dolt’s diff time includes JSON parsing and normalization. We check both outputs against the workload oracle. Dolt’s SQL-path commit time includes SQL mutations, add, and commit; we retain commit hashes for historical checkout and create no version tags. Timed operations run without tracemalloc. During each isolated primary trial, an external parent process samples process-tree RSS every 10 ms, including Dolt child processes; sampling happens outside the timed operations. A separate Windows telemetry run records RSS, CPU, read/write bytes, and serial commit throughput in 405 rows (315 measured). Every row passed correctness checks and the schema-2 audit. These counters include setup and correctness work, not just timed operations. The WSL2 replication has incomplete I/O coverage and ran on the same physical host. Work-examined units differ by system and are not normalized.</w:t>
      </w:r>
    </w:p>
    <w:p w14:paraId="548D9833" w14:textId="77777777" w:rsidR="00E520D1" w:rsidRDefault="00000000">
      <w:pPr>
        <w:pStyle w:val="Heading2"/>
        <w:keepNext/>
        <w:spacing w:before="140" w:after="60"/>
        <w:ind w:firstLine="0"/>
        <w:jc w:val="left"/>
      </w:pPr>
      <w:r>
        <w:rPr>
          <w:rFonts w:ascii="Times New Roman" w:hAnsi="Times New Roman" w:cs="Times New Roman" w:eastAsia="Times New Roman"/>
          <w:b/>
          <w:sz w:val="22"/>
        </w:rPr>
        <w:t>4.3 Repetition, Calibration, and Integrity</w:t>
      </w:r>
    </w:p>
    <w:p w14:paraId="5714C401" w14:textId="77777777" w:rsidR="00E520D1" w:rsidRDefault="00000000">
      <w:pPr>
        <w:keepNext w:val="0"/>
        <w:spacing w:line="272" w:lineRule="exact" w:after="0"/>
        <w:ind w:firstLine="216"/>
        <w:jc w:val="both"/>
      </w:pPr>
      <w:r>
        <w:t>The primary matrix uses two warm-ups and seven measured trials per configuration, for 120 warm-ups and 420 measured runs across calibration and evaluation. Of these, 280 measured runs belong to the five-system evaluation, including 56 SQL-path Dolt runs; another 56 measured runs use Dolt bulk import. We counterbalance and record model order, and run each system/trial in a clean worker. Each scenario uses one deterministic workload, which the internal audit regenerates and checks by digest. The primary run used Windows 11 build 10.0.26200-SP0 and Python 3.14.3 (run b7a4ec7b610742d9b827f43fd5092fe2). For each scenario and comparison, we divide latency measurements from matching trial numbers and bootstrap the seven paired ratios 20,000 times to obtain a percentile 95% interval. These intervals describe variation across runs on this fixed workload and host; they do not measure variation across datasets or machines. We label intervals that include parity as inconclusive. The 5% practical margin is an analyst-selected label, not an external standard.</w:t>
      </w:r>
    </w:p>
    <w:p w14:paraId="52B02E48" w14:textId="77777777" w:rsidR="00E520D1" w:rsidRDefault="00000000">
      <w:pPr>
        <w:keepNext w:val="0"/>
        <w:spacing w:before="40" w:line="272" w:lineRule="exact" w:after="0"/>
        <w:ind w:firstLine="216"/>
        <w:jc w:val="both"/>
      </w:pPr>
      <w:r>
        <w:rPr>
          <w:rFonts w:eastAsia="Times New Roman" w:cs="Times New Roman" w:ascii="Times New Roman" w:hAnsi="Times New Roman"/>
          <w:noProof/>
          <w:sz w:val="22"/>
        </w:rPr>
      </w:r>
    </w:p>
    <w:p w14:paraId="52B02E48" w14:textId="77777777" w:rsidR="00E520D1" w:rsidRDefault="00000000">
      <w:pPr>
        <w:keepNext/>
        <w:keepLines/>
        <w:spacing w:before="40" w:line="240" w:lineRule="auto" w:after="0"/>
        <w:ind w:firstLine="0"/>
        <w:jc w:val="center"/>
      </w:pPr>
      <w:r>
        <w:rPr>
          <w:rFonts w:eastAsia="Times New Roman" w:cs="Times New Roman"/>
          <w:noProof/>
        </w:rPr>
        <w:drawing>
          <wp:inline distT="0" distB="0" distL="0" distR="0" wp14:anchorId="7D2C9E31" wp14:editId="33BDCA98">
            <wp:extent cx="3063240" cy="1723072"/>
            <wp:effectExtent l="0" t="0" r="0" b="0"/>
            <wp:docPr id="3" name="Picture 3" descr="Calibration plot comparing log aggregation and forced-Merkle diff latency across accumulated operation counts, with the frozen 4,096-operation boundary." title="Calibration plot comparing log aggregation and forced-Merkle diff latency across accumulated operation counts, with the frozen 4,096-operation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png"/>
                    <pic:cNvPicPr/>
                  </pic:nvPicPr>
                  <pic:blipFill>
                    <a:blip r:embed="rId35"/>
                    <a:stretch>
                      <a:fillRect/>
                    </a:stretch>
                  </pic:blipFill>
                  <pic:spPr>
                    <a:xfrm>
                      <a:off x="0" y="0"/>
                      <a:ext cx="3063240" cy="1723072"/>
                    </a:xfrm>
                    <a:prstGeom prst="rect">
                      <a:avLst/>
                    </a:prstGeom>
                  </pic:spPr>
                </pic:pic>
              </a:graphicData>
            </a:graphic>
          </wp:inline>
        </w:drawing>
      </w:r>
    </w:p>
    <w:p w14:paraId="4BEC6AC7" w14:textId="77777777" w:rsidR="00E520D1" w:rsidRDefault="00000000">
      <w:pPr>
        <w:pStyle w:val="Caption"/>
        <w:keepNext/>
        <w:keepLines/>
        <w:spacing w:before="40" w:after="40" w:line="240" w:lineRule="exact"/>
        <w:ind w:firstLine="0"/>
        <w:jc w:val="center"/>
      </w:pPr>
      <w:r>
        <w:t>Fig. 3. Threshold calibration; 4,096 is the largest sampled point favoring the log path.</w:t>
      </w:r>
    </w:p>
    <w:p w14:paraId="47C94057" w14:textId="77777777" w:rsidR="00E520D1" w:rsidRDefault="00000000">
      <w:pPr>
        <w:keepNext w:val="0"/>
        <w:spacing w:line="272" w:lineRule="exact" w:after="0"/>
        <w:ind w:firstLine="216"/>
        <w:jc w:val="both"/>
      </w:pPr>
      <w:r>
        <w:t>We fixed the 4,096-operation threshold for this machine; it is not a universal crossover. All 540 primary executions completed and passed the state and diff checks. The audit retained all 127 Tukey outlier candidates rather than removing them. A separate sensitivity run varies the seed, payload size, history length, and update pattern; its results are reported apart from the primary tables.</w:t>
      </w:r>
    </w:p>
    <w:p w14:paraId="0EB6209A" w14:textId="77777777" w:rsidR="00E520D1" w:rsidRDefault="00000000">
      <w:pPr>
        <w:pStyle w:val="Heading1"/>
        <w:keepNext/>
        <w:spacing w:before="140" w:after="60"/>
        <w:ind w:firstLine="0"/>
        <w:jc w:val="center"/>
      </w:pPr>
      <w:r>
        <w:rPr>
          <w:rFonts w:ascii="Times New Roman" w:hAnsi="Times New Roman" w:cs="Times New Roman" w:eastAsia="Times New Roman"/>
          <w:b/>
          <w:sz w:val="24"/>
        </w:rPr>
        <w:t>5 RESULTS</w:t>
      </w:r>
    </w:p>
    <w:p w14:paraId="7C0D62FF" w14:textId="77777777" w:rsidR="00E520D1" w:rsidRDefault="00000000">
      <w:pPr>
        <w:pStyle w:val="Heading2"/>
        <w:keepNext/>
        <w:spacing w:before="140" w:after="60"/>
        <w:ind w:firstLine="0"/>
        <w:jc w:val="left"/>
        <w:rPr>
          <w:rFonts w:ascii="Times New Roman" w:eastAsia="Times New Roman" w:hAnsi="Times New Roman" w:cs="Times New Roman"/>
        </w:rPr>
      </w:pPr>
      <w:r>
        <w:rPr>
          <w:rFonts w:ascii="Times New Roman" w:hAnsi="Times New Roman" w:cs="Times New Roman" w:eastAsia="Times New Roman"/>
          <w:b/>
          <w:sz w:val="22"/>
        </w:rPr>
        <w:t>5.1 Final Diff Performance</w:t>
      </w:r>
    </w:p>
    <w:p w14:paraId="7F3AA39E" w14:textId="77777777" w:rsidR="00860599" w:rsidRPr="00860599" w:rsidRDefault="00860599" w:rsidP="00860599">
      <w:pPr>
        <w:keepNext w:val="0"/>
        <w:spacing w:line="272" w:lineRule="exact" w:after="0"/>
        <w:ind w:firstLine="216"/>
        <w:jc w:val="both"/>
      </w:pPr>
    </w:p>
    <w:p w14:paraId="289BD38A" w14:textId="77777777" w:rsidR="00E520D1" w:rsidRDefault="00000000">
      <w:pPr>
        <w:keepNext w:val="0"/>
        <w:spacing w:before="40" w:line="272" w:lineRule="exact" w:after="0"/>
        <w:ind w:firstLine="216"/>
        <w:jc w:val="both"/>
      </w:pPr>
      <w:r>
        <w:rPr>
          <w:rFonts w:eastAsia="Times New Roman" w:cs="Times New Roman" w:ascii="Times New Roman" w:hAnsi="Times New Roman"/>
          <w:noProof/>
          <w:sz w:val="22"/>
        </w:rPr>
      </w:r>
    </w:p>
    <w:p w14:paraId="575804A1" w14:textId="77777777" w:rsidR="00860599" w:rsidRDefault="00860599">
      <w:pPr>
        <w:pStyle w:val="Caption"/>
        <w:keepNext/>
        <w:spacing w:before="40" w:after="40" w:line="240" w:lineRule="exact"/>
        <w:ind w:firstLine="0"/>
        <w:jc w:val="center"/>
        <w:rPr>
          <w:rFonts w:eastAsia="Times New Roman" w:cs="Times New Roman"/>
        </w:rPr>
      </w:pPr>
    </w:p>
    <w:p w14:paraId="289BD38A" w14:textId="77777777" w:rsidR="00E520D1" w:rsidRDefault="00000000">
      <w:pPr>
        <w:keepNext/>
        <w:keepLines/>
        <w:spacing w:before="40" w:line="240" w:lineRule="auto" w:after="0"/>
        <w:ind w:firstLine="0"/>
        <w:jc w:val="center"/>
      </w:pPr>
      <w:r>
        <w:rPr>
          <w:rFonts w:eastAsia="Times New Roman" w:cs="Times New Roman"/>
          <w:noProof/>
        </w:rPr>
        <w:drawing>
          <wp:inline distT="0" distB="0" distL="0" distR="0" wp14:anchorId="1311E863" wp14:editId="48B78019">
            <wp:extent cx="3108960" cy="1767198"/>
            <wp:effectExtent l="0" t="0" r="0" b="0"/>
            <wp:docPr id="4" name="Picture 4" descr="Log-scale grouped bar chart of final median diff latency with interquartile whiskers for Snapshot, Log-only, Revon-M, Revon-H, and Dolt across five workloads." title="Log-scale grouped bar chart of final median diff latency with interquartile whiskers for Snapshot, Log-only, Revon-M, Revon-H, and Dolt across five worklo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_results.png"/>
                    <pic:cNvPicPr/>
                  </pic:nvPicPr>
                  <pic:blipFill>
                    <a:blip r:embed="rId36"/>
                    <a:stretch>
                      <a:fillRect/>
                    </a:stretch>
                  </pic:blipFill>
                  <pic:spPr>
                    <a:xfrm>
                      <a:off x="0" y="0"/>
                      <a:ext cx="3108960" cy="1767198"/>
                    </a:xfrm>
                    <a:prstGeom prst="rect">
                      <a:avLst/>
                    </a:prstGeom>
                  </pic:spPr>
                </pic:pic>
              </a:graphicData>
            </a:graphic>
          </wp:inline>
        </w:drawing>
      </w:r>
    </w:p>
    <w:p w14:paraId="7D0F1531" w14:textId="656463DD" w:rsidR="00E520D1" w:rsidRDefault="00000000">
      <w:pPr>
        <w:pStyle w:val="Caption"/>
        <w:keepNext/>
        <w:keepLines/>
        <w:spacing w:before="40" w:after="40" w:line="240" w:lineRule="exact"/>
        <w:ind w:firstLine="0"/>
        <w:jc w:val="center"/>
      </w:pPr>
      <w:r>
        <w:t>Fig. 4. Diff latency across eight update scenarios; lower values are better.</w:t>
      </w:r>
    </w:p>
    <w:p w14:paraId="46AD049E" w14:textId="77777777" w:rsidR="00E520D1" w:rsidRDefault="00000000">
      <w:pPr>
        <w:keepNext w:val="0"/>
        <w:spacing w:line="272" w:lineRule="exact" w:after="0"/>
        <w:ind w:firstLine="216"/>
        <w:jc w:val="both"/>
        <w:sectPr>
          <w:type w:val="continuous"/>
          <w:pgSz w:w="11909" w:h="16834"/>
          <w:pgMar w:top="1440" w:right="1440" w:bottom="1440" w:left="1440" w:header="360" w:footer="360" w:gutter="0"/>
          <w:cols w:num="2" w:space="340" w:equalWidth="1"/>
        </w:sectPr>
      </w:pPr>
      <w:r>
        <w:rPr>
          <w:rFonts w:ascii="Times New Roman" w:hAnsi="Times New Roman" w:cs="Times New Roman" w:eastAsia="Times New Roman"/>
          <w:sz w:val="22"/>
        </w:rPr>
      </w:r>
    </w:p>
    <w:tbl>
      <w:tblPr>
        <w:tblW w:w="9020" w:type="dxa"/>
        <w:jc w:val="center"/>
        <w:tblLayout w:type="fixed"/>
        <w:tblLook w:val="04A0" w:firstRow="1" w:lastRow="0" w:firstColumn="1" w:lastColumn="0" w:noHBand="0" w:noVBand="1"/>
      </w:tblPr>
      <w:tblGrid>
        <w:gridCol w:w="1950"/>
        <w:gridCol w:w="1050"/>
        <w:gridCol w:w="1200"/>
        <w:gridCol w:w="1500"/>
        <w:gridCol w:w="3320"/>
      </w:tblGrid>
      <w:tr w:rsidR="00E520D1" w14:paraId="6388673E" w14:textId="77777777">
        <w:trPr>
          <w:cantSplit/>
          <w:tblHeader/>
          <w:jc w:val="center"/>
        </w:trPr>
        <w:tc>
          <w:tcPr>
            <w:tcW w:w="195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Scenario</w:t>
            </w:r>
          </w:p>
        </w:tc>
        <w:tc>
          <w:tcPr>
            <w:tcW w:w="105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Diff path</w:t>
            </w:r>
          </w:p>
        </w:tc>
        <w:tc>
          <w:tcPr>
            <w:tcW w:w="12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Revon-H (ms)</w:t>
            </w:r>
          </w:p>
        </w:tc>
        <w:tc>
          <w:tcPr>
            <w:tcW w:w="15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Dolt SQL (ms)</w:t>
            </w:r>
          </w:p>
        </w:tc>
        <w:tc>
          <w:tcPr>
            <w:tcW w:w="332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Dolt/Revon-H ratio (95% CI)</w:t>
            </w:r>
          </w:p>
        </w:tc>
      </w:tr>
      <w:tr w:rsidR="00E520D1" w14:paraId="5AB7C462"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02ED9F67" w14:textId="77777777" w:rsidR="00E520D1" w:rsidRDefault="00000000">
            <w:pPr>
              <w:keepNext/>
              <w:keepLines/>
              <w:spacing w:line="210" w:lineRule="exact"/>
              <w:ind w:firstLine="0"/>
              <w:jc w:val="left"/>
            </w:pPr>
            <w:r>
              <w:rPr>
                <w:rFonts w:eastAsia="Times New Roman" w:cs="Times New Roman" w:ascii="Times New Roman" w:hAnsi="Times New Roman"/>
                <w:sz w:val="18"/>
              </w:rPr>
              <w:t>Small sparse</w:t>
            </w:r>
          </w:p>
        </w:tc>
        <w:tc>
          <w:tcPr>
            <w:tcW w:w="1050" w:type="dxa"/>
            <w:tcBorders>
              <w:top w:val="nil"/>
              <w:left w:val="nil"/>
              <w:bottom w:val="nil"/>
              <w:right w:val="nil"/>
            </w:tcBorders>
            <w:tcMar>
              <w:top w:w="16" w:type="dxa"/>
              <w:left w:w="25" w:type="dxa"/>
              <w:bottom w:w="16" w:type="dxa"/>
              <w:right w:w="25" w:type="dxa"/>
            </w:tcMar>
            <w:vAlign w:val="center"/>
          </w:tcPr>
          <w:p w14:paraId="7108D8C7" w14:textId="77777777" w:rsidR="00E520D1" w:rsidRDefault="00000000">
            <w:pPr>
              <w:keepNext/>
              <w:keepLines/>
              <w:spacing w:line="210" w:lineRule="exact"/>
              <w:ind w:firstLine="0"/>
              <w:jc w:val="center"/>
            </w:pPr>
            <w:r>
              <w:rPr>
                <w:rFonts w:eastAsia="Times New Roman" w:cs="Times New Roman" w:ascii="Times New Roman" w:hAnsi="Times New Roman"/>
                <w:sz w:val="18"/>
              </w:rPr>
              <w:t>log</w:t>
            </w:r>
          </w:p>
        </w:tc>
        <w:tc>
          <w:tcPr>
            <w:tcW w:w="1200" w:type="dxa"/>
            <w:tcBorders>
              <w:top w:val="nil"/>
              <w:left w:val="nil"/>
              <w:bottom w:val="nil"/>
              <w:right w:val="nil"/>
            </w:tcBorders>
            <w:tcMar>
              <w:top w:w="16" w:type="dxa"/>
              <w:left w:w="25" w:type="dxa"/>
              <w:bottom w:w="16" w:type="dxa"/>
              <w:right w:w="25" w:type="dxa"/>
            </w:tcMar>
            <w:vAlign w:val="center"/>
          </w:tcPr>
          <w:p w14:paraId="7B714A7F" w14:textId="77777777" w:rsidR="00E520D1" w:rsidRDefault="00000000">
            <w:pPr>
              <w:keepNext/>
              <w:keepLines/>
              <w:spacing w:line="210" w:lineRule="exact"/>
              <w:ind w:firstLine="0"/>
              <w:jc w:val="center"/>
            </w:pPr>
            <w:r>
              <w:rPr>
                <w:rFonts w:eastAsia="Times New Roman" w:cs="Times New Roman" w:ascii="Times New Roman" w:hAnsi="Times New Roman"/>
                <w:sz w:val="18"/>
              </w:rPr>
              <w:t>0.659</w:t>
            </w:r>
          </w:p>
        </w:tc>
        <w:tc>
          <w:tcPr>
            <w:tcW w:w="1500" w:type="dxa"/>
            <w:tcBorders>
              <w:top w:val="nil"/>
              <w:left w:val="nil"/>
              <w:bottom w:val="nil"/>
              <w:right w:val="nil"/>
            </w:tcBorders>
            <w:tcMar>
              <w:top w:w="16" w:type="dxa"/>
              <w:left w:w="25" w:type="dxa"/>
              <w:bottom w:w="16" w:type="dxa"/>
              <w:right w:w="25" w:type="dxa"/>
            </w:tcMar>
            <w:vAlign w:val="center"/>
          </w:tcPr>
          <w:p w14:paraId="4443D2D0" w14:textId="77777777" w:rsidR="00E520D1" w:rsidRDefault="00000000">
            <w:pPr>
              <w:keepNext/>
              <w:keepLines/>
              <w:spacing w:line="210" w:lineRule="exact"/>
              <w:ind w:firstLine="0"/>
              <w:jc w:val="center"/>
            </w:pPr>
            <w:r>
              <w:rPr>
                <w:rFonts w:eastAsia="Times New Roman" w:cs="Times New Roman" w:ascii="Times New Roman" w:hAnsi="Times New Roman"/>
                <w:sz w:val="18"/>
              </w:rPr>
              <w:t>411.69</w:t>
            </w:r>
          </w:p>
        </w:tc>
        <w:tc>
          <w:tcPr>
            <w:tcW w:w="3320" w:type="dxa"/>
            <w:tcBorders>
              <w:top w:val="nil"/>
              <w:left w:val="nil"/>
              <w:bottom w:val="nil"/>
              <w:right w:val="nil"/>
            </w:tcBorders>
            <w:tcMar>
              <w:top w:w="16" w:type="dxa"/>
              <w:left w:w="25" w:type="dxa"/>
              <w:bottom w:w="16" w:type="dxa"/>
              <w:right w:w="25" w:type="dxa"/>
            </w:tcMar>
            <w:vAlign w:val="center"/>
          </w:tcPr>
          <w:p w14:paraId="78FB45F5" w14:textId="77777777" w:rsidR="00E520D1" w:rsidRDefault="00000000">
            <w:pPr>
              <w:keepNext/>
              <w:keepLines/>
              <w:spacing w:line="210" w:lineRule="exact"/>
              <w:ind w:firstLine="0"/>
              <w:jc w:val="center"/>
            </w:pPr>
            <w:r>
              <w:rPr>
                <w:rFonts w:eastAsia="Times New Roman" w:cs="Times New Roman" w:ascii="Times New Roman" w:hAnsi="Times New Roman"/>
                <w:sz w:val="18"/>
              </w:rPr>
              <w:t>625.1 (537.1-658.7)</w:t>
            </w:r>
          </w:p>
        </w:tc>
      </w:tr>
      <w:tr w:rsidR="00E520D1" w14:paraId="14D75D8C"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56F5D185" w14:textId="77777777" w:rsidR="00E520D1" w:rsidRDefault="00000000">
            <w:pPr>
              <w:keepNext/>
              <w:keepLines/>
              <w:spacing w:line="210" w:lineRule="exact"/>
              <w:ind w:firstLine="0"/>
              <w:jc w:val="left"/>
            </w:pPr>
            <w:r>
              <w:rPr>
                <w:rFonts w:eastAsia="Times New Roman" w:cs="Times New Roman" w:ascii="Times New Roman" w:hAnsi="Times New Roman"/>
                <w:sz w:val="18"/>
              </w:rPr>
              <w:t>Medium sparse</w:t>
            </w:r>
          </w:p>
        </w:tc>
        <w:tc>
          <w:tcPr>
            <w:tcW w:w="1050" w:type="dxa"/>
            <w:tcBorders>
              <w:top w:val="nil"/>
              <w:left w:val="nil"/>
              <w:bottom w:val="nil"/>
              <w:right w:val="nil"/>
            </w:tcBorders>
            <w:tcMar>
              <w:top w:w="16" w:type="dxa"/>
              <w:left w:w="25" w:type="dxa"/>
              <w:bottom w:w="16" w:type="dxa"/>
              <w:right w:w="25" w:type="dxa"/>
            </w:tcMar>
            <w:vAlign w:val="center"/>
          </w:tcPr>
          <w:p w14:paraId="2F73C711" w14:textId="77777777" w:rsidR="00E520D1" w:rsidRDefault="00000000">
            <w:pPr>
              <w:keepNext/>
              <w:keepLines/>
              <w:spacing w:line="210" w:lineRule="exact"/>
              <w:ind w:firstLine="0"/>
              <w:jc w:val="center"/>
            </w:pPr>
            <w:r>
              <w:rPr>
                <w:rFonts w:eastAsia="Times New Roman" w:cs="Times New Roman" w:ascii="Times New Roman" w:hAnsi="Times New Roman"/>
                <w:sz w:val="18"/>
              </w:rPr>
              <w:t>log</w:t>
            </w:r>
          </w:p>
        </w:tc>
        <w:tc>
          <w:tcPr>
            <w:tcW w:w="1200" w:type="dxa"/>
            <w:tcBorders>
              <w:top w:val="nil"/>
              <w:left w:val="nil"/>
              <w:bottom w:val="nil"/>
              <w:right w:val="nil"/>
            </w:tcBorders>
            <w:tcMar>
              <w:top w:w="16" w:type="dxa"/>
              <w:left w:w="25" w:type="dxa"/>
              <w:bottom w:w="16" w:type="dxa"/>
              <w:right w:w="25" w:type="dxa"/>
            </w:tcMar>
            <w:vAlign w:val="center"/>
          </w:tcPr>
          <w:p w14:paraId="07A8924C" w14:textId="77777777" w:rsidR="00E520D1" w:rsidRDefault="00000000">
            <w:pPr>
              <w:keepNext/>
              <w:keepLines/>
              <w:spacing w:line="210" w:lineRule="exact"/>
              <w:ind w:firstLine="0"/>
              <w:jc w:val="center"/>
            </w:pPr>
            <w:r>
              <w:rPr>
                <w:rFonts w:eastAsia="Times New Roman" w:cs="Times New Roman" w:ascii="Times New Roman" w:hAnsi="Times New Roman"/>
                <w:sz w:val="18"/>
              </w:rPr>
              <w:t>0.814</w:t>
            </w:r>
          </w:p>
        </w:tc>
        <w:tc>
          <w:tcPr>
            <w:tcW w:w="1500" w:type="dxa"/>
            <w:tcBorders>
              <w:top w:val="nil"/>
              <w:left w:val="nil"/>
              <w:bottom w:val="nil"/>
              <w:right w:val="nil"/>
            </w:tcBorders>
            <w:tcMar>
              <w:top w:w="16" w:type="dxa"/>
              <w:left w:w="25" w:type="dxa"/>
              <w:bottom w:w="16" w:type="dxa"/>
              <w:right w:w="25" w:type="dxa"/>
            </w:tcMar>
            <w:vAlign w:val="center"/>
          </w:tcPr>
          <w:p w14:paraId="69012D25" w14:textId="77777777" w:rsidR="00E520D1" w:rsidRDefault="00000000">
            <w:pPr>
              <w:keepNext/>
              <w:keepLines/>
              <w:spacing w:line="210" w:lineRule="exact"/>
              <w:ind w:firstLine="0"/>
              <w:jc w:val="center"/>
            </w:pPr>
            <w:r>
              <w:rPr>
                <w:rFonts w:eastAsia="Times New Roman" w:cs="Times New Roman" w:ascii="Times New Roman" w:hAnsi="Times New Roman"/>
                <w:sz w:val="18"/>
              </w:rPr>
              <w:t>503.31</w:t>
            </w:r>
          </w:p>
        </w:tc>
        <w:tc>
          <w:tcPr>
            <w:tcW w:w="3320" w:type="dxa"/>
            <w:tcBorders>
              <w:top w:val="nil"/>
              <w:left w:val="nil"/>
              <w:bottom w:val="nil"/>
              <w:right w:val="nil"/>
            </w:tcBorders>
            <w:tcMar>
              <w:top w:w="16" w:type="dxa"/>
              <w:left w:w="25" w:type="dxa"/>
              <w:bottom w:w="16" w:type="dxa"/>
              <w:right w:w="25" w:type="dxa"/>
            </w:tcMar>
            <w:vAlign w:val="center"/>
          </w:tcPr>
          <w:p w14:paraId="6D2DE5D7" w14:textId="77777777" w:rsidR="00E520D1" w:rsidRDefault="00000000">
            <w:pPr>
              <w:keepNext/>
              <w:keepLines/>
              <w:spacing w:line="210" w:lineRule="exact"/>
              <w:ind w:firstLine="0"/>
              <w:jc w:val="center"/>
            </w:pPr>
            <w:r>
              <w:rPr>
                <w:rFonts w:eastAsia="Times New Roman" w:cs="Times New Roman" w:ascii="Times New Roman" w:hAnsi="Times New Roman"/>
                <w:sz w:val="18"/>
              </w:rPr>
              <w:t>482.5 (393.4-652.0)</w:t>
            </w:r>
          </w:p>
        </w:tc>
      </w:tr>
      <w:tr w:rsidR="00E520D1" w14:paraId="798A2E98"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252C81D4" w14:textId="77777777" w:rsidR="00E520D1" w:rsidRDefault="00000000">
            <w:pPr>
              <w:keepNext/>
              <w:keepLines/>
              <w:spacing w:line="210" w:lineRule="exact"/>
              <w:ind w:firstLine="0"/>
              <w:jc w:val="left"/>
            </w:pPr>
            <w:r>
              <w:rPr>
                <w:rFonts w:eastAsia="Times New Roman" w:cs="Times New Roman" w:ascii="Times New Roman" w:hAnsi="Times New Roman"/>
                <w:sz w:val="18"/>
              </w:rPr>
              <w:t>Medium dense</w:t>
            </w:r>
          </w:p>
        </w:tc>
        <w:tc>
          <w:tcPr>
            <w:tcW w:w="1050" w:type="dxa"/>
            <w:tcBorders>
              <w:top w:val="nil"/>
              <w:left w:val="nil"/>
              <w:bottom w:val="nil"/>
              <w:right w:val="nil"/>
            </w:tcBorders>
            <w:tcMar>
              <w:top w:w="16" w:type="dxa"/>
              <w:left w:w="25" w:type="dxa"/>
              <w:bottom w:w="16" w:type="dxa"/>
              <w:right w:w="25" w:type="dxa"/>
            </w:tcMar>
            <w:vAlign w:val="center"/>
          </w:tcPr>
          <w:p w14:paraId="377D5DCF" w14:textId="77777777" w:rsidR="00E520D1" w:rsidRDefault="00000000">
            <w:pPr>
              <w:keepNext/>
              <w:keepLines/>
              <w:spacing w:line="210" w:lineRule="exact"/>
              <w:ind w:firstLine="0"/>
              <w:jc w:val="center"/>
            </w:pPr>
            <w:r>
              <w:rPr>
                <w:rFonts w:eastAsia="Times New Roman" w:cs="Times New Roman" w:ascii="Times New Roman" w:hAnsi="Times New Roman"/>
                <w:sz w:val="18"/>
              </w:rPr>
              <w:t>merkle</w:t>
            </w:r>
          </w:p>
        </w:tc>
        <w:tc>
          <w:tcPr>
            <w:tcW w:w="1200" w:type="dxa"/>
            <w:tcBorders>
              <w:top w:val="nil"/>
              <w:left w:val="nil"/>
              <w:bottom w:val="nil"/>
              <w:right w:val="nil"/>
            </w:tcBorders>
            <w:tcMar>
              <w:top w:w="16" w:type="dxa"/>
              <w:left w:w="25" w:type="dxa"/>
              <w:bottom w:w="16" w:type="dxa"/>
              <w:right w:w="25" w:type="dxa"/>
            </w:tcMar>
            <w:vAlign w:val="center"/>
          </w:tcPr>
          <w:p w14:paraId="5F84A617" w14:textId="77777777" w:rsidR="00E520D1" w:rsidRDefault="00000000">
            <w:pPr>
              <w:keepNext/>
              <w:keepLines/>
              <w:spacing w:line="210" w:lineRule="exact"/>
              <w:ind w:firstLine="0"/>
              <w:jc w:val="center"/>
            </w:pPr>
            <w:r>
              <w:rPr>
                <w:rFonts w:eastAsia="Times New Roman" w:cs="Times New Roman" w:ascii="Times New Roman" w:hAnsi="Times New Roman"/>
                <w:sz w:val="18"/>
              </w:rPr>
              <w:t>50.391</w:t>
            </w:r>
          </w:p>
        </w:tc>
        <w:tc>
          <w:tcPr>
            <w:tcW w:w="1500" w:type="dxa"/>
            <w:tcBorders>
              <w:top w:val="nil"/>
              <w:left w:val="nil"/>
              <w:bottom w:val="nil"/>
              <w:right w:val="nil"/>
            </w:tcBorders>
            <w:tcMar>
              <w:top w:w="16" w:type="dxa"/>
              <w:left w:w="25" w:type="dxa"/>
              <w:bottom w:w="16" w:type="dxa"/>
              <w:right w:w="25" w:type="dxa"/>
            </w:tcMar>
            <w:vAlign w:val="center"/>
          </w:tcPr>
          <w:p w14:paraId="7EE49CAA" w14:textId="77777777" w:rsidR="00E520D1" w:rsidRDefault="00000000">
            <w:pPr>
              <w:keepNext/>
              <w:keepLines/>
              <w:spacing w:line="210" w:lineRule="exact"/>
              <w:ind w:firstLine="0"/>
              <w:jc w:val="center"/>
            </w:pPr>
            <w:r>
              <w:rPr>
                <w:rFonts w:eastAsia="Times New Roman" w:cs="Times New Roman" w:ascii="Times New Roman" w:hAnsi="Times New Roman"/>
                <w:sz w:val="18"/>
              </w:rPr>
              <w:t>488.42</w:t>
            </w:r>
          </w:p>
        </w:tc>
        <w:tc>
          <w:tcPr>
            <w:tcW w:w="3320" w:type="dxa"/>
            <w:tcBorders>
              <w:top w:val="nil"/>
              <w:left w:val="nil"/>
              <w:bottom w:val="nil"/>
              <w:right w:val="nil"/>
            </w:tcBorders>
            <w:tcMar>
              <w:top w:w="16" w:type="dxa"/>
              <w:left w:w="25" w:type="dxa"/>
              <w:bottom w:w="16" w:type="dxa"/>
              <w:right w:w="25" w:type="dxa"/>
            </w:tcMar>
            <w:vAlign w:val="center"/>
          </w:tcPr>
          <w:p w14:paraId="235B1D92" w14:textId="77777777" w:rsidR="00E520D1" w:rsidRDefault="00000000">
            <w:pPr>
              <w:keepNext/>
              <w:keepLines/>
              <w:spacing w:line="210" w:lineRule="exact"/>
              <w:ind w:firstLine="0"/>
              <w:jc w:val="center"/>
            </w:pPr>
            <w:r>
              <w:rPr>
                <w:rFonts w:eastAsia="Times New Roman" w:cs="Times New Roman" w:ascii="Times New Roman" w:hAnsi="Times New Roman"/>
                <w:sz w:val="18"/>
              </w:rPr>
              <w:t>10.3 (9.0-10.8)</w:t>
            </w:r>
          </w:p>
        </w:tc>
      </w:tr>
      <w:tr w:rsidR="00E520D1" w14:paraId="739BFC17"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452A8524" w14:textId="77777777" w:rsidR="00E520D1" w:rsidRDefault="00000000">
            <w:pPr>
              <w:keepNext/>
              <w:keepLines/>
              <w:spacing w:line="210" w:lineRule="exact"/>
              <w:ind w:firstLine="0"/>
              <w:jc w:val="left"/>
            </w:pPr>
            <w:r>
              <w:rPr>
                <w:rFonts w:eastAsia="Times New Roman" w:cs="Times New Roman" w:ascii="Times New Roman" w:hAnsi="Times New Roman"/>
                <w:sz w:val="18"/>
              </w:rPr>
              <w:t>Large sparse</w:t>
            </w:r>
          </w:p>
        </w:tc>
        <w:tc>
          <w:tcPr>
            <w:tcW w:w="1050" w:type="dxa"/>
            <w:tcBorders>
              <w:top w:val="nil"/>
              <w:left w:val="nil"/>
              <w:bottom w:val="nil"/>
              <w:right w:val="nil"/>
            </w:tcBorders>
            <w:tcMar>
              <w:top w:w="16" w:type="dxa"/>
              <w:left w:w="25" w:type="dxa"/>
              <w:bottom w:w="16" w:type="dxa"/>
              <w:right w:w="25" w:type="dxa"/>
            </w:tcMar>
            <w:vAlign w:val="center"/>
          </w:tcPr>
          <w:p w14:paraId="0B427CBD" w14:textId="77777777" w:rsidR="00E520D1" w:rsidRDefault="00000000">
            <w:pPr>
              <w:keepNext/>
              <w:keepLines/>
              <w:spacing w:line="210" w:lineRule="exact"/>
              <w:ind w:firstLine="0"/>
              <w:jc w:val="center"/>
            </w:pPr>
            <w:r>
              <w:rPr>
                <w:rFonts w:eastAsia="Times New Roman" w:cs="Times New Roman" w:ascii="Times New Roman" w:hAnsi="Times New Roman"/>
                <w:sz w:val="18"/>
              </w:rPr>
              <w:t>log</w:t>
            </w:r>
          </w:p>
        </w:tc>
        <w:tc>
          <w:tcPr>
            <w:tcW w:w="1200" w:type="dxa"/>
            <w:tcBorders>
              <w:top w:val="nil"/>
              <w:left w:val="nil"/>
              <w:bottom w:val="nil"/>
              <w:right w:val="nil"/>
            </w:tcBorders>
            <w:tcMar>
              <w:top w:w="16" w:type="dxa"/>
              <w:left w:w="25" w:type="dxa"/>
              <w:bottom w:w="16" w:type="dxa"/>
              <w:right w:w="25" w:type="dxa"/>
            </w:tcMar>
            <w:vAlign w:val="center"/>
          </w:tcPr>
          <w:p w14:paraId="10B81D27" w14:textId="77777777" w:rsidR="00E520D1" w:rsidRDefault="00000000">
            <w:pPr>
              <w:keepNext/>
              <w:keepLines/>
              <w:spacing w:line="210" w:lineRule="exact"/>
              <w:ind w:firstLine="0"/>
              <w:jc w:val="center"/>
            </w:pPr>
            <w:r>
              <w:rPr>
                <w:rFonts w:eastAsia="Times New Roman" w:cs="Times New Roman" w:ascii="Times New Roman" w:hAnsi="Times New Roman"/>
                <w:sz w:val="18"/>
              </w:rPr>
              <w:t>46.834</w:t>
            </w:r>
          </w:p>
        </w:tc>
        <w:tc>
          <w:tcPr>
            <w:tcW w:w="1500" w:type="dxa"/>
            <w:tcBorders>
              <w:top w:val="nil"/>
              <w:left w:val="nil"/>
              <w:bottom w:val="nil"/>
              <w:right w:val="nil"/>
            </w:tcBorders>
            <w:tcMar>
              <w:top w:w="16" w:type="dxa"/>
              <w:left w:w="25" w:type="dxa"/>
              <w:bottom w:w="16" w:type="dxa"/>
              <w:right w:w="25" w:type="dxa"/>
            </w:tcMar>
            <w:vAlign w:val="center"/>
          </w:tcPr>
          <w:p w14:paraId="02432761" w14:textId="77777777" w:rsidR="00E520D1" w:rsidRDefault="00000000">
            <w:pPr>
              <w:keepNext/>
              <w:keepLines/>
              <w:spacing w:line="210" w:lineRule="exact"/>
              <w:ind w:firstLine="0"/>
              <w:jc w:val="center"/>
            </w:pPr>
            <w:r>
              <w:rPr>
                <w:rFonts w:eastAsia="Times New Roman" w:cs="Times New Roman" w:ascii="Times New Roman" w:hAnsi="Times New Roman"/>
                <w:sz w:val="18"/>
              </w:rPr>
              <w:t>483.08</w:t>
            </w:r>
          </w:p>
        </w:tc>
        <w:tc>
          <w:tcPr>
            <w:tcW w:w="3320" w:type="dxa"/>
            <w:tcBorders>
              <w:top w:val="nil"/>
              <w:left w:val="nil"/>
              <w:bottom w:val="nil"/>
              <w:right w:val="nil"/>
            </w:tcBorders>
            <w:tcMar>
              <w:top w:w="16" w:type="dxa"/>
              <w:left w:w="25" w:type="dxa"/>
              <w:bottom w:w="16" w:type="dxa"/>
              <w:right w:w="25" w:type="dxa"/>
            </w:tcMar>
            <w:vAlign w:val="center"/>
          </w:tcPr>
          <w:p w14:paraId="654A6F48" w14:textId="77777777" w:rsidR="00E520D1" w:rsidRDefault="00000000">
            <w:pPr>
              <w:keepNext/>
              <w:keepLines/>
              <w:spacing w:line="210" w:lineRule="exact"/>
              <w:ind w:firstLine="0"/>
              <w:jc w:val="center"/>
            </w:pPr>
            <w:r>
              <w:rPr>
                <w:rFonts w:eastAsia="Times New Roman" w:cs="Times New Roman" w:ascii="Times New Roman" w:hAnsi="Times New Roman"/>
                <w:sz w:val="18"/>
              </w:rPr>
              <w:t>10.8 (8.2-12.4)</w:t>
            </w:r>
          </w:p>
        </w:tc>
      </w:tr>
      <w:tr w:rsidR="00E520D1" w14:paraId="3FFE754C"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4222F485" w14:textId="77777777" w:rsidR="00E520D1" w:rsidRDefault="00000000">
            <w:pPr>
              <w:keepNext/>
              <w:keepLines/>
              <w:spacing w:line="210" w:lineRule="exact"/>
              <w:ind w:firstLine="0"/>
              <w:jc w:val="left"/>
            </w:pPr>
            <w:r>
              <w:rPr>
                <w:rFonts w:eastAsia="Times New Roman" w:cs="Times New Roman" w:ascii="Times New Roman" w:hAnsi="Times New Roman"/>
                <w:sz w:val="18"/>
              </w:rPr>
              <w:t>Application-key local</w:t>
            </w:r>
          </w:p>
        </w:tc>
        <w:tc>
          <w:tcPr>
            <w:tcW w:w="1050" w:type="dxa"/>
            <w:tcBorders>
              <w:top w:val="nil"/>
              <w:left w:val="nil"/>
              <w:bottom w:val="nil"/>
              <w:right w:val="nil"/>
            </w:tcBorders>
            <w:tcMar>
              <w:top w:w="16" w:type="dxa"/>
              <w:left w:w="25" w:type="dxa"/>
              <w:bottom w:w="16" w:type="dxa"/>
              <w:right w:w="25" w:type="dxa"/>
            </w:tcMar>
            <w:vAlign w:val="center"/>
          </w:tcPr>
          <w:p w14:paraId="520B5706" w14:textId="77777777" w:rsidR="00E520D1" w:rsidRDefault="00000000">
            <w:pPr>
              <w:keepNext/>
              <w:keepLines/>
              <w:spacing w:line="210" w:lineRule="exact"/>
              <w:ind w:firstLine="0"/>
              <w:jc w:val="center"/>
            </w:pPr>
            <w:r>
              <w:rPr>
                <w:rFonts w:eastAsia="Times New Roman" w:cs="Times New Roman" w:ascii="Times New Roman" w:hAnsi="Times New Roman"/>
                <w:sz w:val="18"/>
              </w:rPr>
              <w:t>log</w:t>
            </w:r>
          </w:p>
        </w:tc>
        <w:tc>
          <w:tcPr>
            <w:tcW w:w="1200" w:type="dxa"/>
            <w:tcBorders>
              <w:top w:val="nil"/>
              <w:left w:val="nil"/>
              <w:bottom w:val="nil"/>
              <w:right w:val="nil"/>
            </w:tcBorders>
            <w:tcMar>
              <w:top w:w="16" w:type="dxa"/>
              <w:left w:w="25" w:type="dxa"/>
              <w:bottom w:w="16" w:type="dxa"/>
              <w:right w:w="25" w:type="dxa"/>
            </w:tcMar>
            <w:vAlign w:val="center"/>
          </w:tcPr>
          <w:p w14:paraId="181670AD" w14:textId="77777777" w:rsidR="00E520D1" w:rsidRDefault="00000000">
            <w:pPr>
              <w:keepNext/>
              <w:keepLines/>
              <w:spacing w:line="210" w:lineRule="exact"/>
              <w:ind w:firstLine="0"/>
              <w:jc w:val="center"/>
            </w:pPr>
            <w:r>
              <w:rPr>
                <w:rFonts w:eastAsia="Times New Roman" w:cs="Times New Roman" w:ascii="Times New Roman" w:hAnsi="Times New Roman"/>
                <w:sz w:val="18"/>
              </w:rPr>
              <w:t>39.361</w:t>
            </w:r>
          </w:p>
        </w:tc>
        <w:tc>
          <w:tcPr>
            <w:tcW w:w="1500" w:type="dxa"/>
            <w:tcBorders>
              <w:top w:val="nil"/>
              <w:left w:val="nil"/>
              <w:bottom w:val="nil"/>
              <w:right w:val="nil"/>
            </w:tcBorders>
            <w:tcMar>
              <w:top w:w="16" w:type="dxa"/>
              <w:left w:w="25" w:type="dxa"/>
              <w:bottom w:w="16" w:type="dxa"/>
              <w:right w:w="25" w:type="dxa"/>
            </w:tcMar>
            <w:vAlign w:val="center"/>
          </w:tcPr>
          <w:p w14:paraId="2FED5B1D" w14:textId="77777777" w:rsidR="00E520D1" w:rsidRDefault="00000000">
            <w:pPr>
              <w:keepNext/>
              <w:keepLines/>
              <w:spacing w:line="210" w:lineRule="exact"/>
              <w:ind w:firstLine="0"/>
              <w:jc w:val="center"/>
            </w:pPr>
            <w:r>
              <w:rPr>
                <w:rFonts w:eastAsia="Times New Roman" w:cs="Times New Roman" w:ascii="Times New Roman" w:hAnsi="Times New Roman"/>
                <w:sz w:val="18"/>
              </w:rPr>
              <w:t>289.87</w:t>
            </w:r>
          </w:p>
        </w:tc>
        <w:tc>
          <w:tcPr>
            <w:tcW w:w="3320" w:type="dxa"/>
            <w:tcBorders>
              <w:top w:val="nil"/>
              <w:left w:val="nil"/>
              <w:bottom w:val="nil"/>
              <w:right w:val="nil"/>
            </w:tcBorders>
            <w:tcMar>
              <w:top w:w="16" w:type="dxa"/>
              <w:left w:w="25" w:type="dxa"/>
              <w:bottom w:w="16" w:type="dxa"/>
              <w:right w:w="25" w:type="dxa"/>
            </w:tcMar>
            <w:vAlign w:val="center"/>
          </w:tcPr>
          <w:p w14:paraId="3FCD3F34" w14:textId="77777777" w:rsidR="00E520D1" w:rsidRDefault="00000000">
            <w:pPr>
              <w:keepNext/>
              <w:keepLines/>
              <w:spacing w:line="210" w:lineRule="exact"/>
              <w:ind w:firstLine="0"/>
              <w:jc w:val="center"/>
            </w:pPr>
            <w:r>
              <w:rPr>
                <w:rFonts w:eastAsia="Times New Roman" w:cs="Times New Roman" w:ascii="Times New Roman" w:hAnsi="Times New Roman"/>
                <w:sz w:val="18"/>
              </w:rPr>
              <w:t>7.1 (6.8-9.8)</w:t>
            </w:r>
          </w:p>
        </w:tc>
      </w:tr>
      <w:tr>
        <w:trPr>
          <w:cantSplit/>
          <w:jc w:val="center"/>
        </w:trPr>
        <w:tc>
          <w:tcPr>
            <w:tcW w:type="dxa" w:w="195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left"/>
            </w:pPr>
            <w:r>
              <w:rPr>
                <w:rFonts w:eastAsia="Times New Roman" w:cs="Times New Roman" w:ascii="Times New Roman" w:hAnsi="Times New Roman"/>
                <w:sz w:val="18"/>
              </w:rPr>
              <w:t>Range local</w:t>
            </w:r>
          </w:p>
        </w:tc>
        <w:tc>
          <w:tcPr>
            <w:tcW w:type="dxa" w:w="105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log</w:t>
            </w:r>
          </w:p>
        </w:tc>
        <w:tc>
          <w:tcPr>
            <w:tcW w:type="dxa" w:w="120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41.359</w:t>
            </w:r>
          </w:p>
        </w:tc>
        <w:tc>
          <w:tcPr>
            <w:tcW w:type="dxa" w:w="150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325.04</w:t>
            </w:r>
          </w:p>
        </w:tc>
        <w:tc>
          <w:tcPr>
            <w:tcW w:type="dxa" w:w="332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7.8 (6.8-11.2)</w:t>
            </w:r>
          </w:p>
        </w:tc>
      </w:tr>
      <w:tr>
        <w:trPr>
          <w:cantSplit/>
          <w:jc w:val="center"/>
        </w:trPr>
        <w:tc>
          <w:tcPr>
            <w:tcW w:type="dxa" w:w="195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left"/>
            </w:pPr>
            <w:r>
              <w:rPr>
                <w:rFonts w:eastAsia="Times New Roman" w:cs="Times New Roman" w:ascii="Times New Roman" w:hAnsi="Times New Roman"/>
                <w:sz w:val="18"/>
              </w:rPr>
              <w:t>Repeated key</w:t>
            </w:r>
          </w:p>
        </w:tc>
        <w:tc>
          <w:tcPr>
            <w:tcW w:type="dxa" w:w="105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log</w:t>
            </w:r>
          </w:p>
        </w:tc>
        <w:tc>
          <w:tcPr>
            <w:tcW w:type="dxa" w:w="120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1.992</w:t>
            </w:r>
          </w:p>
        </w:tc>
        <w:tc>
          <w:tcPr>
            <w:tcW w:type="dxa" w:w="150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293.72</w:t>
            </w:r>
          </w:p>
        </w:tc>
        <w:tc>
          <w:tcPr>
            <w:tcW w:type="dxa" w:w="3320"/>
            <w:tcBorders>
              <w:top w:val="nil"/>
              <w:left w:val="nil"/>
              <w:bottom w:val="nil"/>
              <w:right w:val="nil"/>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141.6 (109.5-173.2)</w:t>
            </w:r>
          </w:p>
        </w:tc>
      </w:tr>
      <w:tr>
        <w:trPr>
          <w:cantSplit/>
          <w:jc w:val="center"/>
        </w:trPr>
        <w:tc>
          <w:tcPr>
            <w:tcW w:type="dxa" w:w="1950"/>
            <w:tcBorders>
              <w:top w:val="nil"/>
              <w:left w:val="nil"/>
              <w:right w:val="nil"/>
              <w:bottom w:val="single" w:sz="6" w:space="0" w:color="000000"/>
            </w:tcBorders>
            <w:tcMar>
              <w:top w:w="16" w:type="dxa"/>
              <w:left w:w="25" w:type="dxa"/>
              <w:bottom w:w="16" w:type="dxa"/>
              <w:right w:w="25" w:type="dxa"/>
            </w:tcMar>
            <w:vAlign w:val="center"/>
          </w:tcPr>
          <w:p>
            <w:pPr>
              <w:keepNext/>
              <w:keepLines/>
              <w:spacing w:line="210" w:lineRule="exact"/>
              <w:ind w:firstLine="0"/>
              <w:jc w:val="left"/>
            </w:pPr>
            <w:r>
              <w:rPr>
                <w:rFonts w:eastAsia="Times New Roman" w:cs="Times New Roman" w:ascii="Times New Roman" w:hAnsi="Times New Roman"/>
                <w:sz w:val="18"/>
              </w:rPr>
              <w:t>Hash-route local</w:t>
            </w:r>
          </w:p>
        </w:tc>
        <w:tc>
          <w:tcPr>
            <w:tcW w:type="dxa" w:w="1050"/>
            <w:tcBorders>
              <w:top w:val="nil"/>
              <w:left w:val="nil"/>
              <w:right w:val="nil"/>
              <w:bottom w:val="single" w:sz="6" w:space="0" w:color="000000"/>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log</w:t>
            </w:r>
          </w:p>
        </w:tc>
        <w:tc>
          <w:tcPr>
            <w:tcW w:type="dxa" w:w="1200"/>
            <w:tcBorders>
              <w:top w:val="nil"/>
              <w:left w:val="nil"/>
              <w:right w:val="nil"/>
              <w:bottom w:val="single" w:sz="6" w:space="0" w:color="000000"/>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2.620</w:t>
            </w:r>
          </w:p>
        </w:tc>
        <w:tc>
          <w:tcPr>
            <w:tcW w:type="dxa" w:w="1500"/>
            <w:tcBorders>
              <w:top w:val="nil"/>
              <w:left w:val="nil"/>
              <w:right w:val="nil"/>
              <w:bottom w:val="single" w:sz="6" w:space="0" w:color="000000"/>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278.22</w:t>
            </w:r>
          </w:p>
        </w:tc>
        <w:tc>
          <w:tcPr>
            <w:tcW w:type="dxa" w:w="3320"/>
            <w:tcBorders>
              <w:top w:val="nil"/>
              <w:left w:val="nil"/>
              <w:right w:val="nil"/>
              <w:bottom w:val="single" w:sz="6" w:space="0" w:color="000000"/>
            </w:tcBorders>
            <w:tcMar>
              <w:top w:w="16" w:type="dxa"/>
              <w:left w:w="25" w:type="dxa"/>
              <w:bottom w:w="16" w:type="dxa"/>
              <w:right w:w="25" w:type="dxa"/>
            </w:tcMar>
            <w:vAlign w:val="center"/>
          </w:tcPr>
          <w:p>
            <w:pPr>
              <w:keepNext/>
              <w:keepLines/>
              <w:spacing w:line="210" w:lineRule="exact"/>
              <w:ind w:firstLine="0"/>
              <w:jc w:val="center"/>
            </w:pPr>
            <w:r>
              <w:rPr>
                <w:rFonts w:eastAsia="Times New Roman" w:cs="Times New Roman" w:ascii="Times New Roman" w:hAnsi="Times New Roman"/>
                <w:sz w:val="18"/>
              </w:rPr>
              <w:t>102.4 (97.5-104.0)</w:t>
            </w:r>
          </w:p>
        </w:tc>
      </w:tr>
    </w:tbl>
    <w:p w14:paraId="1FE6C26C" w14:textId="77777777" w:rsidR="00E520D1" w:rsidRDefault="00000000">
      <w:pPr>
        <w:pStyle w:val="Caption"/>
        <w:keepNext/>
        <w:keepLines/>
        <w:spacing w:before="40" w:after="40" w:line="240" w:lineRule="exact"/>
        <w:ind w:firstLine="0"/>
        <w:jc w:val="center"/>
      </w:pPr>
      <w:r>
        <w:t>TABLE III. Revon-H and SQL-path Dolt diff latency; the final column gives the median paired ratio and 95% bootstrap interval.</w:t>
      </w:r>
    </w:p>
    <w:p>
      <w:pPr>
        <w:keepNext w:val="0"/>
        <w:spacing w:line="272" w:lineRule="exact" w:after="0"/>
        <w:ind w:firstLine="216"/>
        <w:jc w:val="both"/>
        <w:sectPr>
          <w:type w:val="continuous"/>
          <w:pgSz w:w="11909" w:h="16834"/>
          <w:pgMar w:top="1440" w:right="1440" w:bottom="1440" w:left="1440" w:header="360" w:footer="360" w:gutter="0"/>
          <w:cols w:num="1" w:space="0" w:equalWidth="1"/>
        </w:sectPr>
      </w:pPr>
    </w:p>
    <w:p w14:paraId="72BD6C98" w14:textId="77777777" w:rsidR="00E520D1" w:rsidRDefault="00000000">
      <w:pPr>
        <w:keepNext w:val="0"/>
        <w:spacing w:line="272" w:lineRule="exact" w:after="0"/>
        <w:ind w:firstLine="216"/>
        <w:jc w:val="both"/>
      </w:pPr>
      <w:r>
        <w:t>In all eight scenarios, the paired Dolt/Revon-H diff ratio exceeded one and its 95% interval excluded parity. Revon-H therefore had lower diff latency in the workflows we tested. Table III gives the median of the seven same-trial ratios and the bootstrap interval. The comparison is between Revon’s in-process API and Dolt’s CLI workflow, which includes Dolt CLI and SQL costs; these ratios are not engine-only speedups. The lexically adjacent application-key workload is distinct from the range-local, repeated-key, and hash-route-local workloads.</w:t>
      </w:r>
    </w:p>
    <w:p w14:paraId="67FBE85F" w14:textId="77777777" w:rsidR="00E520D1" w:rsidRDefault="00000000">
      <w:pPr>
        <w:pStyle w:val="Heading2"/>
        <w:keepNext/>
        <w:spacing w:before="140" w:after="60"/>
        <w:ind w:firstLine="0"/>
        <w:jc w:val="left"/>
      </w:pPr>
      <w:r>
        <w:rPr>
          <w:rFonts w:ascii="Times New Roman" w:hAnsi="Times New Roman" w:cs="Times New Roman" w:eastAsia="Times New Roman"/>
          <w:b/>
          <w:sz w:val="22"/>
        </w:rPr>
        <w:t>5.2 Hybrid Ablation</w:t>
      </w:r>
    </w:p>
    <w:p w14:paraId="460E66BE" w14:textId="77777777" w:rsidR="00E520D1" w:rsidRDefault="00000000">
      <w:pPr>
        <w:keepNext w:val="0"/>
        <w:spacing w:line="272" w:lineRule="exact" w:after="0"/>
        <w:ind w:firstLine="216"/>
        <w:jc w:val="both"/>
      </w:pPr>
      <w:r>
        <w:t>Three of the eight primary Revon-M/Revon-H diff intervals included parity, so those comparisons were inconclusive. The separate robustness matrix used 10,000 rows, three seeds, 32- and 128-byte values, histories of 10 and 50 commits, and spread, range-local, and repeated-key updates. A Revon-M/Revon-H ratio above one means Revon-M was slower. On Windows, the ratios for the baseline, 128-byte values, range-local updates, and repeated-key updates were 1.58 [1.23, 1.87], 1.62 [1.38, 1.72], 1.64 [1.38, 1.77], and 2.24 [2.02, 2.38]. The 50-commit interval crossed parity. WSL2 showed the same direction for the other four factors, while the 50-commit interval again overlapped parity. This three-seed sensitivity study on one physical host offers more direct evidence about adaptive selection than the cross-system ratios, but it does not establish general superiority.</w:t>
      </w:r>
    </w:p>
    <w:p w14:paraId="318865E2" w14:textId="77777777" w:rsidR="00E520D1" w:rsidRDefault="00000000">
      <w:pPr>
        <w:pStyle w:val="Heading2"/>
        <w:keepNext/>
        <w:spacing w:before="140" w:after="60"/>
        <w:ind w:firstLine="0"/>
        <w:jc w:val="left"/>
      </w:pPr>
      <w:r>
        <w:rPr>
          <w:rFonts w:ascii="Times New Roman" w:hAnsi="Times New Roman" w:cs="Times New Roman" w:eastAsia="Times New Roman"/>
          <w:b/>
          <w:sz w:val="22"/>
        </w:rPr>
        <w:t>5.3 Commit, Checkout, and Storage</w:t>
      </w:r>
    </w:p>
    <w:p w14:paraId="58B9674A" w14:textId="77777777" w:rsidR="00E520D1" w:rsidRDefault="00000000">
      <w:pPr>
        <w:keepNext w:val="0"/>
        <w:spacing w:before="40" w:line="272" w:lineRule="exact" w:after="0"/>
        <w:ind w:firstLine="216"/>
        <w:jc w:val="both"/>
      </w:pPr>
      <w:r>
        <w:rPr>
          <w:rFonts w:eastAsia="Times New Roman" w:cs="Times New Roman" w:ascii="Times New Roman" w:hAnsi="Times New Roman"/>
          <w:noProof/>
          <w:sz w:val="22"/>
        </w:rPr>
      </w:r>
    </w:p>
    <w:p w14:paraId="58B9674A" w14:textId="77777777" w:rsidR="00E520D1" w:rsidRDefault="00000000">
      <w:pPr>
        <w:keepNext/>
        <w:keepLines/>
        <w:spacing w:before="40" w:line="240" w:lineRule="auto" w:after="0"/>
        <w:ind w:firstLine="0"/>
        <w:jc w:val="center"/>
      </w:pPr>
      <w:r>
        <w:rPr>
          <w:rFonts w:eastAsia="Times New Roman" w:cs="Times New Roman"/>
          <w:noProof/>
        </w:rPr>
        <w:drawing>
          <wp:inline distT="0" distB="0" distL="0" distR="0" wp14:anchorId="5480C593" wp14:editId="6B287AB5">
            <wp:extent cx="3108960" cy="1603568"/>
            <wp:effectExtent l="0" t="0" r="0" b="0"/>
            <wp:docPr id="5" name="Picture 5" descr="Two-panel log-scale chart comparing Revon-H and Dolt median incremental commit and historical checkout latency with interquartile whiskers." title="Two-panel log-scale chart comparing Revon-H and Dolt median incremental commit and historical checkout latency with interquartile whis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l_results.png"/>
                    <pic:cNvPicPr/>
                  </pic:nvPicPr>
                  <pic:blipFill>
                    <a:blip r:embed="rId37"/>
                    <a:stretch>
                      <a:fillRect/>
                    </a:stretch>
                  </pic:blipFill>
                  <pic:spPr>
                    <a:xfrm>
                      <a:off x="0" y="0"/>
                      <a:ext cx="3108960" cy="1603568"/>
                    </a:xfrm>
                    <a:prstGeom prst="rect">
                      <a:avLst/>
                    </a:prstGeom>
                  </pic:spPr>
                </pic:pic>
              </a:graphicData>
            </a:graphic>
          </wp:inline>
        </w:drawing>
      </w:r>
    </w:p>
    <w:p w14:paraId="5BBC7A11" w14:textId="77777777" w:rsidR="00E520D1" w:rsidRDefault="00000000">
      <w:pPr>
        <w:pStyle w:val="Caption"/>
        <w:keepNext/>
        <w:keepLines/>
        <w:spacing w:before="40" w:after="40" w:line="240" w:lineRule="exact"/>
        <w:ind w:firstLine="0"/>
        <w:jc w:val="center"/>
      </w:pPr>
      <w:r>
        <w:t>Fig. 5. Operational latency for Revon-H and Dolt; lower values are better.</w:t>
      </w:r>
    </w:p>
    <w:p w14:paraId="68A3C580" w14:textId="77777777" w:rsidR="00E520D1" w:rsidRDefault="00000000">
      <w:pPr>
        <w:keepNext w:val="0"/>
        <w:spacing w:line="272" w:lineRule="exact" w:after="0"/>
        <w:ind w:firstLine="216"/>
        <w:jc w:val="both"/>
      </w:pPr>
      <w:r>
        <w:t>Across all eight scenarios, the paired Dolt/Revon-H intervals excluded parity for initial import, incremental commit, diff, and historical checkout. Full ratios and intervals appear in paired_ratio_uncertainty.csv. Median initial-import times across scenario medians were 1,814.83 ms for batched SQL INSERT, 1,701.25 ms for Dolt bulk import, and 1,131.24 ms for Revon-H. In the paired SQL-versus-bulk-import analysis, four scenario intervals favored bulk import and four included parity; the results do not show a general bulk-import advantage. These are workflow measurements, not evidence of engine-level or production-system superiority.</w:t>
      </w:r>
    </w:p>
    <w:p w14:paraId="6DDCABD8" w14:textId="77777777" w:rsidR="00E520D1" w:rsidRDefault="00000000">
      <w:pPr>
        <w:keepNext w:val="0"/>
        <w:spacing w:line="272" w:lineRule="exact" w:after="0"/>
        <w:ind w:firstLine="216"/>
        <w:jc w:val="both"/>
      </w:pPr>
      <w:r>
        <w:t>Repository directory size measures the footprint of the full workflow, not storage normalized to the algorithms alone. Across the eight scenarios, Revon-H’s repository footprint was 1.99–6.90 times Dolt’s. After dividing each directory size by the final UTF-8 key/value payload, the median Revon-H/Dolt ratio was 3.82; the corresponding ratio for the residual was 6.82. That residual is not pure metadata: it also includes serialization, indexes, other metadata, and compression effects. After compaction, mean sampled footprints were 22.08 MiB for Revon-M, 22.08 MiB for Revon-H, 2.17 MiB for Dolt SQL, and 2.19 MiB for Dolt bulk import. We compacted Dolt offline with `dolt gc` and the Revon SQLite repositories with `VACUUM`; compaction time is excluded from latency and RSS. These are sampled outcomes, not a pure metadata comparison or a universal steady-state result.</w:t>
      </w:r>
    </w:p>
    <w:p w14:paraId="45B97055" w14:textId="77777777" w:rsidR="00E520D1" w:rsidRDefault="00000000">
      <w:pPr>
        <w:pStyle w:val="Heading2"/>
        <w:keepNext/>
        <w:spacing w:before="140" w:after="60"/>
        <w:ind w:firstLine="0"/>
        <w:jc w:val="left"/>
      </w:pPr>
      <w:r>
        <w:rPr>
          <w:rFonts w:ascii="Times New Roman" w:hAnsi="Times New Roman" w:cs="Times New Roman" w:eastAsia="Times New Roman"/>
          <w:b/>
          <w:sz w:val="22"/>
        </w:rPr>
        <w:t>5.4 Trie-Parameter Sensitivity</w:t>
      </w:r>
    </w:p>
    <w:p w14:paraId="76175840" w14:textId="77777777" w:rsidR="00E520D1" w:rsidRDefault="00000000">
      <w:pPr>
        <w:keepNext w:val="0"/>
        <w:spacing w:before="40" w:line="272" w:lineRule="exact" w:after="0"/>
        <w:ind w:firstLine="216"/>
        <w:jc w:val="both"/>
      </w:pPr>
      <w:r>
        <w:rPr>
          <w:rFonts w:eastAsia="Times New Roman" w:cs="Times New Roman" w:ascii="Times New Roman" w:hAnsi="Times New Roman"/>
          <w:noProof/>
          <w:sz w:val="22"/>
        </w:rPr>
      </w:r>
    </w:p>
    <w:p w14:paraId="76175840" w14:textId="77777777" w:rsidR="00E520D1" w:rsidRDefault="00000000">
      <w:pPr>
        <w:keepNext/>
        <w:keepLines/>
        <w:spacing w:before="40" w:line="240" w:lineRule="auto" w:after="0"/>
        <w:ind w:firstLine="0"/>
        <w:jc w:val="center"/>
      </w:pPr>
      <w:r>
        <w:rPr>
          <w:rFonts w:eastAsia="Times New Roman" w:cs="Times New Roman"/>
          <w:noProof/>
        </w:rPr>
        <w:drawing>
          <wp:inline distT="0" distB="0" distL="0" distR="0" wp14:anchorId="0AF85796" wp14:editId="7444C345">
            <wp:extent cx="3063240" cy="1723072"/>
            <wp:effectExtent l="0" t="0" r="0" b="0"/>
            <wp:docPr id="6" name="Picture 6" descr="Scatter plot of forced-Merkle median diff latency against repository storage for five branching-factor and depth configurations, highlighting b8-d4." title="Scatter plot of forced-Merkle median diff latency against repository storage for five branching-factor and depth configurations, highlighting b8-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png"/>
                    <pic:cNvPicPr/>
                  </pic:nvPicPr>
                  <pic:blipFill>
                    <a:blip r:embed="rId38"/>
                    <a:stretch>
                      <a:fillRect/>
                    </a:stretch>
                  </pic:blipFill>
                  <pic:spPr>
                    <a:xfrm>
                      <a:off x="0" y="0"/>
                      <a:ext cx="3063240" cy="1723072"/>
                    </a:xfrm>
                    <a:prstGeom prst="rect">
                      <a:avLst/>
                    </a:prstGeom>
                  </pic:spPr>
                </pic:pic>
              </a:graphicData>
            </a:graphic>
          </wp:inline>
        </w:drawing>
      </w:r>
    </w:p>
    <w:p w14:paraId="78A17440" w14:textId="77777777" w:rsidR="00E520D1" w:rsidRDefault="00000000">
      <w:pPr>
        <w:pStyle w:val="Caption"/>
        <w:keepNext/>
        <w:keepLines/>
        <w:spacing w:before="40" w:after="40" w:line="240" w:lineRule="exact"/>
        <w:ind w:firstLine="0"/>
        <w:jc w:val="center"/>
      </w:pPr>
      <w:r>
        <w:t>Fig. 6. Fixed-trie sensitivity; points show median diff latency, and the axis extends beyond the largest measured 75th percentile.</w:t>
      </w:r>
    </w:p>
    <w:p w14:paraId="64F5B5C1" w14:textId="77777777" w:rsidR="00E520D1" w:rsidRDefault="00000000">
      <w:pPr>
        <w:keepNext w:val="0"/>
        <w:spacing w:line="272" w:lineRule="exact" w:after="0"/>
        <w:ind w:firstLine="216"/>
        <w:jc w:val="both"/>
      </w:pPr>
      <w:r>
        <w:t>The corrected fixed-trie sensitivity run completed 45 executions: 10 warm-ups and 35 measured runs. The b16-d3 configuration had the lowest median diff time (21.46 ms), but used 8.12 MiB. The b8-d4 configuration took 26.74 ms and used the least storage (4.26 MiB). The over-deep b8-d5 configuration took 33.68 ms to diff and used 44.5% more storage than b8-d4. Thus, b8-d4 balances latency and storage in this sample; it is not a universal optimum.</w:t>
      </w:r>
    </w:p>
    <w:p w14:paraId="414AACB7" w14:textId="77777777" w:rsidR="00E520D1" w:rsidRDefault="00000000">
      <w:pPr>
        <w:pStyle w:val="Heading1"/>
        <w:keepNext/>
        <w:spacing w:before="140" w:after="60"/>
        <w:ind w:firstLine="0"/>
        <w:jc w:val="center"/>
      </w:pPr>
      <w:r>
        <w:rPr>
          <w:rFonts w:ascii="Times New Roman" w:hAnsi="Times New Roman" w:cs="Times New Roman" w:eastAsia="Times New Roman"/>
          <w:b/>
          <w:sz w:val="24"/>
        </w:rPr>
        <w:t>6 DISCUSSION</w:t>
      </w:r>
    </w:p>
    <w:p w14:paraId="68D0CF21" w14:textId="77777777" w:rsidR="00E520D1" w:rsidRDefault="00000000">
      <w:pPr>
        <w:keepNext w:val="0"/>
        <w:spacing w:line="272" w:lineRule="exact" w:after="0"/>
        <w:ind w:firstLine="216"/>
        <w:jc w:val="both"/>
      </w:pPr>
      <w:r>
        <w:t>For RQ1, the results show workload-dependent latency and storage trade-offs across the synthetic update patterns we tested. In a separate three-seed study, Revon-H had lower diff times than the forced-Merkle ablation for four factors on both Windows and WSL2. The 50-commit comparison remained inconclusive on both. Lexically adjacent application keys, sorted-range updates, repeated-key updates, and hash-route locality represent different patterns. We did not test ordered range queries, concurrent readers or writers, or production throughput.</w:t>
      </w:r>
    </w:p>
    <w:p w14:paraId="2DA71F59" w14:textId="77777777" w:rsidR="00E520D1" w:rsidRDefault="00000000">
      <w:pPr>
        <w:keepNext w:val="0"/>
        <w:spacing w:line="272" w:lineRule="exact" w:after="0"/>
        <w:ind w:firstLine="216"/>
        <w:jc w:val="both"/>
      </w:pPr>
      <w:r>
        <w:t>For RQ2, the paired Revon-M/Revon-H ablation provides the clearest comparison: both variants use the same durable trie, and differ in diff-path selection. Revon-H showed advantages for the tested short and sparse histories. The 50-commit case, which crossed the fixed operation threshold, showed no resolved difference. These results do not establish a universal advantage for the selector.</w:t>
      </w:r>
    </w:p>
    <w:p w14:paraId="7F6A648E" w14:textId="77777777" w:rsidR="00E520D1" w:rsidRDefault="00000000">
      <w:pPr>
        <w:keepNext w:val="0"/>
        <w:spacing w:line="272" w:lineRule="exact" w:after="0"/>
        <w:ind w:firstLine="216"/>
        <w:jc w:val="both"/>
      </w:pPr>
      <w:r>
        <w:t>For RQ3, the results rule out one trie geometry as best for every workload. Shallow routing reduces internal traversal but leaves larger buckets and higher storage use. Deeper routing reduces bucket occupancy but adds internal-node work. The suitable configuration depends on whether a workload prioritizes latency, storage, or limiting leaf scans.</w:t>
      </w:r>
    </w:p>
    <w:p w14:paraId="2FA0A9E0" w14:textId="77777777" w:rsidR="00E520D1" w:rsidRDefault="00000000">
      <w:pPr>
        <w:keepNext w:val="0"/>
        <w:spacing w:line="272" w:lineRule="exact" w:after="0"/>
        <w:ind w:firstLine="216"/>
        <w:jc w:val="both"/>
      </w:pPr>
      <w:r>
        <w:t>The Dolt ratios reflect the complete systems and interfaces we measured. Dolt handles SQL parsing, schema management, version-control operations, and production durability, which the Revon prototype does not. Its Prolly Trees also support ordered queries, branches, merges, and remote workflows. Because our timings include each system’s declared interface, they do not isolate the tree algorithms. We therefore cannot conclude that a fixed trie is inherently faster than a Prolly Tree.</w:t>
      </w:r>
    </w:p>
    <w:p w14:paraId="41A1CDD1" w14:textId="77777777" w:rsidR="00E520D1" w:rsidRDefault="00000000">
      <w:pPr>
        <w:pStyle w:val="Heading1"/>
        <w:keepNext/>
        <w:spacing w:before="140" w:after="60"/>
        <w:ind w:firstLine="0"/>
        <w:jc w:val="center"/>
      </w:pPr>
      <w:r>
        <w:rPr>
          <w:rFonts w:ascii="Times New Roman" w:hAnsi="Times New Roman" w:cs="Times New Roman" w:eastAsia="Times New Roman"/>
          <w:b/>
          <w:sz w:val="24"/>
        </w:rPr>
        <w:t>7 LIMITATIONS AND THREATS TO VALIDITY</w:t>
      </w:r>
    </w:p>
    <w:p w14:paraId="7761A3CA" w14:textId="77777777" w:rsidR="00E520D1" w:rsidRDefault="00000000">
      <w:pPr>
        <w:pStyle w:val="ListBullet"/>
        <w:keepNext w:val="0"/>
        <w:spacing w:line="272" w:lineRule="exact" w:after="0"/>
        <w:ind w:firstLine="216"/>
        <w:jc w:val="both"/>
      </w:pPr>
      <w:r>
        <w:t>Runtime and interface: Revon runs in-process in Python; Dolt is a mature Go executable invoked through CLI and SQL interfaces. This difference affects the measured workflow.</w:t>
      </w:r>
    </w:p>
    <w:p w14:paraId="77D5668E" w14:textId="77777777" w:rsidR="00E520D1" w:rsidRDefault="00000000">
      <w:pPr>
        <w:pStyle w:val="ListBullet"/>
        <w:keepNext w:val="0"/>
        <w:spacing w:line="272" w:lineRule="exact" w:after="0"/>
        <w:ind w:firstLine="216"/>
        <w:jc w:val="both"/>
      </w:pPr>
      <w:r>
        <w:t>Feature set: Revon supports one writer and a linear history. It does not support SQL, branches, merges, remotes, schema evolution, or production concurrency.</w:t>
      </w:r>
    </w:p>
    <w:p w14:paraId="50CC3E43" w14:textId="77777777" w:rsidR="00E520D1" w:rsidRDefault="00000000">
      <w:pPr>
        <w:pStyle w:val="ListBullet"/>
        <w:keepNext w:val="0"/>
        <w:spacing w:line="272" w:lineRule="exact" w:after="0"/>
        <w:ind w:firstLine="216"/>
        <w:jc w:val="both"/>
      </w:pPr>
      <w:r>
        <w:t>Dataset scope: The primary study reaches 100,000 rows. The sensitivity study uses flat key/value tables with 10,000 rows, three seeds, 32- and 128-byte values, histories of 10 and 50 commits, and three update patterns. We did not test alternate schemas, public multi-table datasets, or one-million-row datasets.</w:t>
      </w:r>
    </w:p>
    <w:p w14:paraId="467D60BD" w14:textId="77777777" w:rsidR="00E520D1" w:rsidRDefault="00000000">
      <w:pPr>
        <w:pStyle w:val="ListBullet"/>
        <w:keepNext w:val="0"/>
        <w:spacing w:line="272" w:lineRule="exact" w:after="0"/>
        <w:ind w:firstLine="216"/>
        <w:jc w:val="both"/>
      </w:pPr>
      <w:r>
        <w:t>Environment and replication: The primary run used one Windows 11 host. The WSL2 Ubuntu sensitivity run used the same physical computer, not an independent Linux machine. No external researcher or clean clone has reproduced the timings. The internal audit checks evidence consistency; it does not reproduce wall-clock performance.</w:t>
      </w:r>
    </w:p>
    <w:p w14:paraId="52F508AD" w14:textId="77777777" w:rsidR="00E520D1" w:rsidRDefault="00000000">
      <w:pPr>
        <w:pStyle w:val="ListBullet"/>
        <w:keepNext w:val="0"/>
        <w:spacing w:line="272" w:lineRule="exact" w:after="0"/>
        <w:ind w:firstLine="216"/>
        <w:jc w:val="both"/>
      </w:pPr>
      <w:r>
        <w:t>Calibration: The log path was faster at the largest sampled operation count that favored it, 4,096. This result does not establish a universal crossover.</w:t>
      </w:r>
    </w:p>
    <w:p w14:paraId="1D5AC2C5" w14:textId="77777777" w:rsidR="00E520D1" w:rsidRDefault="00000000">
      <w:pPr>
        <w:pStyle w:val="ListBullet"/>
        <w:keepNext w:val="0"/>
        <w:spacing w:line="272" w:lineRule="exact" w:after="0"/>
        <w:ind w:firstLine="216"/>
        <w:jc w:val="both"/>
      </w:pPr>
      <w:r>
        <w:t>Memory: We measured median whole-worker process-tree RSS in eight primary scenarios for Snapshot, Log-only, Revon-M, Revon-H, and SQL-path Dolt. These measurements include shared workload/oracle state and adapter processes, so they are not product-only memory figures. The parent process sampled every 10 ms outside timed operations. It may miss shorter peaks, and monitoring may add small scheduling pressure. Dolt bulk-import measurements are reported separately from SQL-path Dolt.</w:t>
      </w:r>
    </w:p>
    <w:p w14:paraId="3DEEC4F3" w14:textId="77777777" w:rsidR="00E520D1" w:rsidRDefault="00000000">
      <w:pPr>
        <w:pStyle w:val="ListBullet"/>
        <w:keepNext w:val="0"/>
        <w:spacing w:line="272" w:lineRule="exact" w:after="0"/>
        <w:ind w:firstLine="216"/>
        <w:jc w:val="both"/>
      </w:pPr>
      <w:r>
        <w:t>Work units: Keys, log operations, trie-node pairs, and Dolt’s internal work are different quantities. We do not combine them into a normalized work measure.</w:t>
      </w:r>
    </w:p>
    <w:p w14:paraId="0C067FC3" w14:textId="77777777" w:rsidR="00E520D1" w:rsidRDefault="00000000">
      <w:pPr>
        <w:pStyle w:val="ListBullet"/>
        <w:keepNext w:val="0"/>
        <w:spacing w:line="272" w:lineRule="exact" w:after="0"/>
        <w:ind w:firstLine="216"/>
        <w:jc w:val="both"/>
      </w:pPr>
      <w:r>
        <w:t>Uncertainty: We retained every Tukey outlier candidate. The primary seven-trial ratio intervals are paired bootstrap intervals for each fixed scenario. The additional seed-cluster bootstrap uses only three seeds. Neither analysis estimates performance across a population of datasets or machines.</w:t>
      </w:r>
    </w:p>
    <w:p w14:paraId="70601B60" w14:textId="77777777" w:rsidR="00E520D1" w:rsidRDefault="00000000">
      <w:pPr>
        <w:pStyle w:val="Heading1"/>
        <w:keepNext/>
        <w:spacing w:before="140" w:after="60"/>
        <w:ind w:firstLine="0"/>
        <w:jc w:val="center"/>
      </w:pPr>
      <w:r>
        <w:rPr>
          <w:rFonts w:ascii="Times New Roman" w:hAnsi="Times New Roman" w:cs="Times New Roman" w:eastAsia="Times New Roman"/>
          <w:b/>
          <w:sz w:val="24"/>
        </w:rPr>
        <w:t>8 FUTURE WORK</w:t>
      </w:r>
    </w:p>
    <w:p w14:paraId="32073347" w14:textId="77777777" w:rsidR="00E520D1" w:rsidRDefault="00000000">
      <w:pPr>
        <w:keepNext w:val="0"/>
        <w:spacing w:line="272" w:lineRule="exact" w:after="0"/>
        <w:ind w:firstLine="216"/>
        <w:jc w:val="both"/>
      </w:pPr>
      <w:r>
        <w:t>A future version could select its structure from observed workload statistics. Key count, prefix skew, mutation density, and leaf occupancy may help choose among the tested trie geometries instead of fixing b and d for every repository. The diff selector could also recalibrate over time, using history distance, changed-prefix density, and observed I/O alongside operation count.</w:t>
      </w:r>
    </w:p>
    <w:p w14:paraId="5946F8F1" w14:textId="77777777" w:rsidR="00E520D1" w:rsidRDefault="00000000">
      <w:pPr>
        <w:keepNext w:val="0"/>
        <w:spacing w:line="272" w:lineRule="exact" w:after="0"/>
        <w:ind w:firstLine="216"/>
        <w:jc w:val="both"/>
      </w:pPr>
      <w:r>
        <w:t>Revon’s storage could be reduced through binary node records, separate value chunks, packed objects, compression, reachability checks, and garbage collection. An ordered Merkle index or content-defined chunking could add range scans and history-independent boundaries while retaining the fixed trie as a controlled baseline.</w:t>
      </w:r>
    </w:p>
    <w:p w14:paraId="12C920B4" w14:textId="77777777" w:rsidR="00E520D1" w:rsidRDefault="00000000">
      <w:pPr>
        <w:keepNext w:val="0"/>
        <w:spacing w:line="272" w:lineRule="exact" w:after="0"/>
        <w:ind w:firstLine="216"/>
        <w:jc w:val="both"/>
      </w:pPr>
      <w:r>
        <w:t>Moving beyond a linear prototype will require named branches, merge commits, conflict reporting, schema-aware records, concurrent readers and writers, ordered range scans, and remote synchronization. Evaluation also needs public structured datasets, workloads with one million rows, and replications by independent researchers on separate hardware. WSL2 I/O counters remain incomplete, and the Windows sensitivity counters cover the workflow rather than isolating individual operation costs.</w:t>
      </w:r>
    </w:p>
    <w:p w14:paraId="77340321" w14:textId="77777777" w:rsidR="00E520D1" w:rsidRDefault="00000000">
      <w:pPr>
        <w:pStyle w:val="Heading1"/>
        <w:keepNext/>
        <w:spacing w:before="140" w:after="60"/>
        <w:ind w:firstLine="0"/>
        <w:jc w:val="center"/>
      </w:pPr>
      <w:r>
        <w:rPr>
          <w:rFonts w:ascii="Times New Roman" w:hAnsi="Times New Roman" w:cs="Times New Roman" w:eastAsia="Times New Roman"/>
          <w:b/>
          <w:sz w:val="24"/>
        </w:rPr>
        <w:t>9 CONCLUSION</w:t>
      </w:r>
    </w:p>
    <w:p w14:paraId="21690765" w14:textId="77777777" w:rsidR="00E520D1" w:rsidRDefault="00000000">
      <w:pPr>
        <w:keepNext w:val="0"/>
        <w:spacing w:line="272" w:lineRule="exact" w:after="0"/>
        <w:ind w:firstLine="216"/>
        <w:jc w:val="both"/>
      </w:pPr>
      <w:r>
        <w:t>Revon demonstrates one way to version structured key/value data using immutable objects, incremental Merkle updates, SQLite persistence, historical checkout, and adaptive differencing. Paired intervals and a three-seed sensitivity study show workload-specific differences between Revon-H and the forced-Merkle ablation; the long-history result remains inconclusive. The experiments do not establish performance on real schemas or public datasets, or across independent hardware, concurrent workloads, and ordered range queries. The evidence describes a prototype, not a production-system replacement.</w:t>
      </w:r>
    </w:p>
    <w:p w14:paraId="554D71A7" w14:textId="77777777" w:rsidR="00E520D1" w:rsidRDefault="00000000">
      <w:pPr>
        <w:pStyle w:val="Heading1"/>
        <w:keepNext/>
        <w:spacing w:before="140" w:after="60"/>
        <w:ind w:firstLine="0"/>
        <w:jc w:val="center"/>
      </w:pPr>
      <w:r>
        <w:rPr>
          <w:rFonts w:ascii="Times New Roman" w:hAnsi="Times New Roman" w:cs="Times New Roman" w:eastAsia="Times New Roman"/>
          <w:b/>
          <w:i w:val="0"/>
          <w:sz w:val="24"/>
        </w:rPr>
        <w:t>ACKNOWLEDGMENT</w:t>
      </w:r>
    </w:p>
    <w:p w14:paraId="170DE3D8" w14:textId="77777777" w:rsidR="00E520D1" w:rsidRDefault="00000000">
      <w:pPr>
        <w:keepNext w:val="0"/>
        <w:spacing w:line="272" w:lineRule="exact" w:after="0"/>
        <w:ind w:firstLine="216"/>
        <w:jc w:val="both"/>
      </w:pPr>
      <w:r>
        <w:t>We thank the open-source Dolt project and the researchers whose work on dataset versioning informed our experimental design.</w:t>
      </w:r>
    </w:p>
    <w:p w14:paraId="0AEA9696" w14:textId="77777777" w:rsidR="00E520D1" w:rsidRDefault="00000000">
      <w:pPr>
        <w:pStyle w:val="Heading1"/>
        <w:keepNext/>
        <w:spacing w:before="140" w:after="60"/>
        <w:ind w:firstLine="0"/>
        <w:jc w:val="center"/>
      </w:pPr>
      <w:r>
        <w:rPr>
          <w:rFonts w:ascii="Times New Roman" w:hAnsi="Times New Roman" w:cs="Times New Roman" w:eastAsia="Times New Roman"/>
          <w:b/>
          <w:i w:val="0"/>
          <w:sz w:val="24"/>
        </w:rPr>
        <w:t>REFERENCES</w:t>
      </w:r>
    </w:p>
    <w:p w14:paraId="649FA60C" w14:textId="77777777" w:rsidR="00E520D1" w:rsidRDefault="00000000">
      <w:pPr>
        <w:pStyle w:val="IEEEReference"/>
        <w:keepNext w:val="0"/>
        <w:spacing w:after="80" w:line="240" w:lineRule="exact"/>
        <w:ind w:left="360" w:hanging="360"/>
        <w:jc w:val="left"/>
      </w:pPr>
      <w:bookmarkStart w:id="100" w:name="ref_git"/>
      <w:r>
        <w:rPr>
          <w:rFonts w:ascii="Times New Roman" w:hAnsi="Times New Roman"/>
          <w:sz w:val="20"/>
        </w:rPr>
        <w:t xml:space="preserve">Scott Chacon and Ben Straub. 2014. Git Internals: Git Objects. In </w:t>
      </w:r>
      <w:r>
        <w:rPr>
          <w:rFonts w:ascii="Times New Roman" w:hAnsi="Times New Roman"/>
          <w:sz w:val="20"/>
          <w:i/>
        </w:rPr>
        <w:t>Pro Git</w:t>
      </w:r>
      <w:r>
        <w:rPr>
          <w:rFonts w:ascii="Times New Roman" w:hAnsi="Times New Roman"/>
          <w:sz w:val="20"/>
        </w:rPr>
        <w:t xml:space="preserve">, second edition. Available at </w:t>
      </w:r>
      <w:hyperlink r:id="rId22">
        <w:r>
          <w:rPr>
            <w:rFonts w:ascii="Times New Roman" w:hAnsi="Times New Roman"/>
            <w:sz w:val="20"/>
            <w:color w:val="0000FF"/>
            <w:u w:val="single"/>
          </w:rPr>
          <w:t xml:space="preserve">https://git-scm.com/book/en/v2/Git-Internals-Git-Objects</w:t>
        </w:r>
      </w:hyperlink>
      <w:r>
        <w:rPr>
          <w:rFonts w:ascii="Times New Roman" w:hAnsi="Times New Roman"/>
          <w:sz w:val="20"/>
        </w:rPr>
        <w:t>.</w:t>
      </w:r>
      <w:bookmarkEnd w:id="100"/>
    </w:p>
    <w:p w14:paraId="5BB204FB" w14:textId="77777777" w:rsidR="00E520D1" w:rsidRDefault="00000000">
      <w:pPr>
        <w:pStyle w:val="IEEEReference"/>
        <w:keepNext w:val="0"/>
        <w:spacing w:after="80" w:line="240" w:lineRule="exact"/>
        <w:ind w:left="360" w:hanging="360"/>
        <w:jc w:val="left"/>
      </w:pPr>
      <w:bookmarkStart w:id="101" w:name="ref_dolt_block"/>
      <w:r>
        <w:rPr>
          <w:rFonts w:ascii="Times New Roman" w:hAnsi="Times New Roman"/>
          <w:sz w:val="20"/>
        </w:rPr>
        <w:t xml:space="preserve">DoltHub. 2024. Dolt Storage Engine: Block Store. </w:t>
      </w:r>
      <w:r>
        <w:rPr>
          <w:rFonts w:ascii="Times New Roman" w:hAnsi="Times New Roman"/>
          <w:sz w:val="20"/>
          <w:i/>
        </w:rPr>
        <w:t>Dolt Documentation</w:t>
      </w:r>
      <w:r>
        <w:rPr>
          <w:rFonts w:ascii="Times New Roman" w:hAnsi="Times New Roman"/>
          <w:sz w:val="20"/>
        </w:rPr>
        <w:t xml:space="preserve">. Available at </w:t>
      </w:r>
      <w:hyperlink r:id="rId23">
        <w:r>
          <w:rPr>
            <w:rFonts w:ascii="Times New Roman" w:hAnsi="Times New Roman"/>
            <w:sz w:val="20"/>
            <w:color w:val="0000FF"/>
            <w:u w:val="single"/>
          </w:rPr>
          <w:t xml:space="preserve">https://www.dolthub.com/docs/architecture/storage-engine/block-store/</w:t>
        </w:r>
      </w:hyperlink>
      <w:r>
        <w:rPr>
          <w:rFonts w:ascii="Times New Roman" w:hAnsi="Times New Roman"/>
          <w:sz w:val="20"/>
        </w:rPr>
        <w:t>.</w:t>
      </w:r>
      <w:bookmarkEnd w:id="101"/>
    </w:p>
    <w:p w14:paraId="5775FD3B" w14:textId="77777777" w:rsidR="00E520D1" w:rsidRDefault="00000000">
      <w:pPr>
        <w:pStyle w:val="IEEEReference"/>
        <w:keepNext w:val="0"/>
        <w:spacing w:after="80" w:line="240" w:lineRule="exact"/>
        <w:ind w:left="360" w:hanging="360"/>
        <w:jc w:val="left"/>
      </w:pPr>
      <w:bookmarkStart w:id="102" w:name="ref_dolt_prolly"/>
      <w:r>
        <w:rPr>
          <w:rFonts w:ascii="Times New Roman" w:hAnsi="Times New Roman"/>
          <w:sz w:val="20"/>
        </w:rPr>
        <w:t xml:space="preserve">Tim Sehn. 2024. Dolt’s Storage Engine. </w:t>
      </w:r>
      <w:r>
        <w:rPr>
          <w:rFonts w:ascii="Times New Roman" w:hAnsi="Times New Roman"/>
          <w:sz w:val="20"/>
          <w:i/>
        </w:rPr>
        <w:t>DoltHub Blog</w:t>
      </w:r>
      <w:r>
        <w:rPr>
          <w:rFonts w:ascii="Times New Roman" w:hAnsi="Times New Roman"/>
          <w:sz w:val="20"/>
        </w:rPr>
        <w:t xml:space="preserve">, February 29. Available at </w:t>
      </w:r>
      <w:hyperlink r:id="rId24">
        <w:r>
          <w:rPr>
            <w:rFonts w:ascii="Times New Roman" w:hAnsi="Times New Roman"/>
            <w:sz w:val="20"/>
            <w:color w:val="0000FF"/>
            <w:u w:val="single"/>
          </w:rPr>
          <w:t xml:space="preserve">https://www.dolthub.com/blog/2024-02-29-storage-engine/</w:t>
        </w:r>
      </w:hyperlink>
      <w:r>
        <w:rPr>
          <w:rFonts w:ascii="Times New Roman" w:hAnsi="Times New Roman"/>
          <w:sz w:val="20"/>
        </w:rPr>
        <w:t>.</w:t>
      </w:r>
      <w:bookmarkEnd w:id="102"/>
    </w:p>
    <w:p w14:paraId="6480976C" w14:textId="77777777" w:rsidR="00E520D1" w:rsidRDefault="00000000">
      <w:pPr>
        <w:pStyle w:val="IEEEReference"/>
        <w:keepNext w:val="0"/>
        <w:spacing w:after="80" w:line="240" w:lineRule="exact"/>
        <w:ind w:left="360" w:hanging="360"/>
        <w:jc w:val="left"/>
      </w:pPr>
      <w:bookmarkStart w:id="103" w:name="ref_merkle"/>
      <w:r>
        <w:rPr>
          <w:rFonts w:ascii="Times New Roman" w:hAnsi="Times New Roman"/>
          <w:sz w:val="20"/>
        </w:rPr>
        <w:t xml:space="preserve">Ralph C. Merkle. 1988. A digital signature based on a conventional encryption function. In </w:t>
      </w:r>
      <w:r>
        <w:rPr>
          <w:rFonts w:ascii="Times New Roman" w:hAnsi="Times New Roman"/>
          <w:sz w:val="20"/>
          <w:i/>
        </w:rPr>
        <w:t>Advances in Cryptology: CRYPTO ’87, Lecture Notes in Computer Science 293</w:t>
      </w:r>
      <w:r>
        <w:rPr>
          <w:rFonts w:ascii="Times New Roman" w:hAnsi="Times New Roman"/>
          <w:sz w:val="20"/>
        </w:rPr>
        <w:t xml:space="preserve">, 369–378. Springer. </w:t>
      </w:r>
      <w:hyperlink r:id="rId25">
        <w:r>
          <w:rPr>
            <w:rFonts w:ascii="Times New Roman" w:hAnsi="Times New Roman"/>
            <w:sz w:val="20"/>
            <w:color w:val="0000FF"/>
            <w:u w:val="single"/>
          </w:rPr>
          <w:t xml:space="preserve">https://doi.org/10.1007/3-540-48184-2_32</w:t>
        </w:r>
      </w:hyperlink>
      <w:r>
        <w:rPr>
          <w:rFonts w:ascii="Times New Roman" w:hAnsi="Times New Roman"/>
          <w:sz w:val="20"/>
        </w:rPr>
        <w:t>.</w:t>
      </w:r>
      <w:bookmarkEnd w:id="103"/>
    </w:p>
    <w:p w14:paraId="343E0604" w14:textId="77777777" w:rsidR="00E520D1" w:rsidRDefault="00000000">
      <w:pPr>
        <w:pStyle w:val="IEEEReference"/>
        <w:keepNext w:val="0"/>
        <w:spacing w:after="80" w:line="240" w:lineRule="exact"/>
        <w:ind w:left="360" w:hanging="360"/>
        <w:jc w:val="left"/>
      </w:pPr>
      <w:bookmarkStart w:id="104" w:name="ref_persistent"/>
      <w:r>
        <w:rPr>
          <w:rFonts w:ascii="Times New Roman" w:hAnsi="Times New Roman"/>
          <w:sz w:val="20"/>
        </w:rPr>
        <w:t xml:space="preserve">James R. Driscoll, Neil Sarnak, Daniel D. Sleator, and Robert E. Tarjan. 1989. Making data structures persistent. </w:t>
      </w:r>
      <w:r>
        <w:rPr>
          <w:rFonts w:ascii="Times New Roman" w:hAnsi="Times New Roman"/>
          <w:sz w:val="20"/>
          <w:i/>
        </w:rPr>
        <w:t>Journal of Computer and System Sciences 38</w:t>
      </w:r>
      <w:r>
        <w:rPr>
          <w:rFonts w:ascii="Times New Roman" w:hAnsi="Times New Roman"/>
          <w:sz w:val="20"/>
        </w:rPr>
        <w:t xml:space="preserve">, 1 (1989), 86–124. </w:t>
      </w:r>
      <w:hyperlink r:id="rId26">
        <w:r>
          <w:rPr>
            <w:rFonts w:ascii="Times New Roman" w:hAnsi="Times New Roman"/>
            <w:sz w:val="20"/>
            <w:color w:val="0000FF"/>
            <w:u w:val="single"/>
          </w:rPr>
          <w:t xml:space="preserve">https://doi.org/10.1016/0022-0000(89)90034-2</w:t>
        </w:r>
      </w:hyperlink>
      <w:r>
        <w:rPr>
          <w:rFonts w:ascii="Times New Roman" w:hAnsi="Times New Roman"/>
          <w:sz w:val="20"/>
        </w:rPr>
        <w:t>.</w:t>
      </w:r>
      <w:bookmarkEnd w:id="104"/>
    </w:p>
    <w:p w14:paraId="4A79A3FD" w14:textId="77777777" w:rsidR="00E520D1" w:rsidRDefault="00000000">
      <w:pPr>
        <w:pStyle w:val="IEEEReference"/>
        <w:keepNext w:val="0"/>
        <w:spacing w:after="80" w:line="240" w:lineRule="exact"/>
        <w:ind w:left="360" w:hanging="360"/>
        <w:jc w:val="left"/>
      </w:pPr>
      <w:bookmarkStart w:id="105" w:name="ref_ipfs"/>
      <w:r>
        <w:rPr>
          <w:rFonts w:ascii="Times New Roman" w:hAnsi="Times New Roman"/>
          <w:sz w:val="20"/>
        </w:rPr>
        <w:t xml:space="preserve">Juan Benet. 2014. IPFS: Content Addressed, Versioned, P2P File System. </w:t>
      </w:r>
      <w:r>
        <w:rPr>
          <w:rFonts w:ascii="Times New Roman" w:hAnsi="Times New Roman"/>
          <w:sz w:val="20"/>
          <w:i/>
        </w:rPr>
        <w:t>arXiv:1407.3561</w:t>
      </w:r>
      <w:r>
        <w:rPr>
          <w:rFonts w:ascii="Times New Roman" w:hAnsi="Times New Roman"/>
          <w:sz w:val="20"/>
        </w:rPr>
        <w:t>.</w:t>
      </w:r>
      <w:bookmarkEnd w:id="105"/>
    </w:p>
    <w:p w14:paraId="37950743" w14:textId="77777777" w:rsidR="00E520D1" w:rsidRDefault="00000000">
      <w:pPr>
        <w:pStyle w:val="IEEEReference"/>
        <w:keepNext w:val="0"/>
        <w:spacing w:after="80" w:line="240" w:lineRule="exact"/>
        <w:ind w:left="360" w:hanging="360"/>
        <w:jc w:val="left"/>
      </w:pPr>
      <w:bookmarkStart w:id="106" w:name="ref_mst"/>
      <w:r>
        <w:rPr>
          <w:rFonts w:ascii="Times New Roman" w:hAnsi="Times New Roman"/>
          <w:sz w:val="20"/>
        </w:rPr>
        <w:t xml:space="preserve">Alex Auvolat and François Taïani. 2019. Merkle Search Trees: Efficient State-Based CRDTs in Open Networks. In </w:t>
      </w:r>
      <w:r>
        <w:rPr>
          <w:rFonts w:ascii="Times New Roman" w:hAnsi="Times New Roman"/>
          <w:sz w:val="20"/>
          <w:i/>
        </w:rPr>
        <w:t>Proceedings of the 38th IEEE International Symposium on Reliable Distributed Systems</w:t>
      </w:r>
      <w:r>
        <w:rPr>
          <w:rFonts w:ascii="Times New Roman" w:hAnsi="Times New Roman"/>
          <w:sz w:val="20"/>
        </w:rPr>
        <w:t xml:space="preserve">, 221–230. </w:t>
      </w:r>
      <w:hyperlink r:id="rId27">
        <w:r>
          <w:rPr>
            <w:rFonts w:ascii="Times New Roman" w:hAnsi="Times New Roman"/>
            <w:sz w:val="20"/>
            <w:color w:val="0000FF"/>
            <w:u w:val="single"/>
          </w:rPr>
          <w:t xml:space="preserve">https://doi.org/10.1109/SRDS47363.2019.00032</w:t>
        </w:r>
      </w:hyperlink>
      <w:r>
        <w:rPr>
          <w:rFonts w:ascii="Times New Roman" w:hAnsi="Times New Roman"/>
          <w:sz w:val="20"/>
        </w:rPr>
        <w:t>.</w:t>
      </w:r>
      <w:bookmarkEnd w:id="106"/>
    </w:p>
    <w:p w14:paraId="6B4473D2" w14:textId="77777777" w:rsidR="00E520D1" w:rsidRDefault="00000000">
      <w:pPr>
        <w:pStyle w:val="IEEEReference"/>
        <w:keepNext w:val="0"/>
        <w:spacing w:after="80" w:line="240" w:lineRule="exact"/>
        <w:ind w:left="360" w:hanging="360"/>
        <w:jc w:val="left"/>
      </w:pPr>
      <w:bookmarkStart w:id="107" w:name="ref_lbfs"/>
      <w:r>
        <w:rPr>
          <w:rFonts w:ascii="Times New Roman" w:hAnsi="Times New Roman"/>
          <w:sz w:val="20"/>
        </w:rPr>
        <w:t xml:space="preserve">Athicha Muthitacharoen, Benjie Chen, and David Mazières. 2001. A low-bandwidth network file system. In </w:t>
      </w:r>
      <w:r>
        <w:rPr>
          <w:rFonts w:ascii="Times New Roman" w:hAnsi="Times New Roman"/>
          <w:sz w:val="20"/>
          <w:i/>
        </w:rPr>
        <w:t>Proceedings of the 18th ACM Symposium on Operating Systems Principles</w:t>
      </w:r>
      <w:r>
        <w:rPr>
          <w:rFonts w:ascii="Times New Roman" w:hAnsi="Times New Roman"/>
          <w:sz w:val="20"/>
        </w:rPr>
        <w:t xml:space="preserve">, 174–187. </w:t>
      </w:r>
      <w:hyperlink r:id="rId28">
        <w:r>
          <w:rPr>
            <w:rFonts w:ascii="Times New Roman" w:hAnsi="Times New Roman"/>
            <w:sz w:val="20"/>
            <w:color w:val="0000FF"/>
            <w:u w:val="single"/>
          </w:rPr>
          <w:t xml:space="preserve">https://doi.org/10.1145/502034.502052</w:t>
        </w:r>
      </w:hyperlink>
      <w:r>
        <w:rPr>
          <w:rFonts w:ascii="Times New Roman" w:hAnsi="Times New Roman"/>
          <w:sz w:val="20"/>
        </w:rPr>
        <w:t>.</w:t>
      </w:r>
      <w:bookmarkEnd w:id="107"/>
    </w:p>
    <w:p w14:paraId="3C1C415D" w14:textId="77777777" w:rsidR="00E520D1" w:rsidRDefault="00000000">
      <w:pPr>
        <w:pStyle w:val="IEEEReference"/>
        <w:keepNext w:val="0"/>
        <w:spacing w:after="80" w:line="240" w:lineRule="exact"/>
        <w:ind w:left="360" w:hanging="360"/>
        <w:jc w:val="left"/>
      </w:pPr>
      <w:bookmarkStart w:id="108" w:name="ref_datahub"/>
      <w:r>
        <w:rPr>
          <w:rFonts w:ascii="Times New Roman" w:hAnsi="Times New Roman"/>
          <w:sz w:val="20"/>
        </w:rPr>
        <w:t xml:space="preserve">Anant Bhardwaj et al. 2015. DataHub: Collaborative Data Science and Dataset Version Management at Scale. In </w:t>
      </w:r>
      <w:r>
        <w:rPr>
          <w:rFonts w:ascii="Times New Roman" w:hAnsi="Times New Roman"/>
          <w:sz w:val="20"/>
          <w:i/>
        </w:rPr>
        <w:t>Proceedings of the 7th Biennial Conference on Innovative Data Systems Research</w:t>
      </w:r>
      <w:r>
        <w:rPr>
          <w:rFonts w:ascii="Times New Roman" w:hAnsi="Times New Roman"/>
          <w:sz w:val="20"/>
        </w:rPr>
        <w:t>.</w:t>
      </w:r>
      <w:bookmarkEnd w:id="108"/>
    </w:p>
    <w:p w14:paraId="23047337" w14:textId="77777777" w:rsidR="00E520D1" w:rsidRDefault="00000000">
      <w:pPr>
        <w:pStyle w:val="IEEEReference"/>
        <w:keepNext w:val="0"/>
        <w:spacing w:after="80" w:line="240" w:lineRule="exact"/>
        <w:ind w:left="360" w:hanging="360"/>
        <w:jc w:val="left"/>
      </w:pPr>
      <w:bookmarkStart w:id="109" w:name="ref_decibel"/>
      <w:r>
        <w:rPr>
          <w:rFonts w:ascii="Times New Roman" w:hAnsi="Times New Roman"/>
          <w:sz w:val="20"/>
        </w:rPr>
        <w:t xml:space="preserve">Michael Maddox et al. 2016. Decibel: The Relational Dataset Branching System. </w:t>
      </w:r>
      <w:r>
        <w:rPr>
          <w:rFonts w:ascii="Times New Roman" w:hAnsi="Times New Roman"/>
          <w:sz w:val="20"/>
          <w:i/>
        </w:rPr>
        <w:t>Proceedings of the VLDB Endowment 9</w:t>
      </w:r>
      <w:r>
        <w:rPr>
          <w:rFonts w:ascii="Times New Roman" w:hAnsi="Times New Roman"/>
          <w:sz w:val="20"/>
        </w:rPr>
        <w:t xml:space="preserve">, 9 (2016), 624–635. </w:t>
      </w:r>
      <w:hyperlink r:id="rId29">
        <w:r>
          <w:rPr>
            <w:rFonts w:ascii="Times New Roman" w:hAnsi="Times New Roman"/>
            <w:sz w:val="20"/>
            <w:color w:val="0000FF"/>
            <w:u w:val="single"/>
          </w:rPr>
          <w:t xml:space="preserve">https://doi.org/10.14778/2947618.2947619</w:t>
        </w:r>
      </w:hyperlink>
      <w:r>
        <w:rPr>
          <w:rFonts w:ascii="Times New Roman" w:hAnsi="Times New Roman"/>
          <w:sz w:val="20"/>
        </w:rPr>
        <w:t>.</w:t>
      </w:r>
      <w:bookmarkEnd w:id="109"/>
    </w:p>
    <w:p w14:paraId="7CC4C411" w14:textId="77777777" w:rsidR="00E520D1" w:rsidRDefault="00000000">
      <w:pPr>
        <w:pStyle w:val="IEEEReference"/>
        <w:keepNext w:val="0"/>
        <w:spacing w:after="80" w:line="240" w:lineRule="exact"/>
        <w:ind w:left="360" w:hanging="360"/>
        <w:jc w:val="left"/>
      </w:pPr>
      <w:bookmarkStart w:id="110" w:name="ref_orpheus"/>
      <w:r>
        <w:rPr>
          <w:rFonts w:ascii="Times New Roman" w:hAnsi="Times New Roman"/>
          <w:sz w:val="20"/>
        </w:rPr>
        <w:t xml:space="preserve">Silu Huang, Liqi Xu, Jialin Liu, Aaron J. Elmore, and Aditya G. Parameswaran. 2017. OrpheusDB: Bolt-on Versioning for Relational Databases. </w:t>
      </w:r>
      <w:r>
        <w:rPr>
          <w:rFonts w:ascii="Times New Roman" w:hAnsi="Times New Roman"/>
          <w:sz w:val="20"/>
          <w:i/>
        </w:rPr>
        <w:t>Proceedings of the VLDB Endowment 10</w:t>
      </w:r>
      <w:r>
        <w:rPr>
          <w:rFonts w:ascii="Times New Roman" w:hAnsi="Times New Roman"/>
          <w:sz w:val="20"/>
        </w:rPr>
        <w:t xml:space="preserve">, 10 (2017), 1130–1141. </w:t>
      </w:r>
      <w:hyperlink r:id="rId30">
        <w:r>
          <w:rPr>
            <w:rFonts w:ascii="Times New Roman" w:hAnsi="Times New Roman"/>
            <w:sz w:val="20"/>
            <w:color w:val="0000FF"/>
            <w:u w:val="single"/>
          </w:rPr>
          <w:t xml:space="preserve">https://doi.org/10.14778/3115404.3115417</w:t>
        </w:r>
      </w:hyperlink>
      <w:r>
        <w:rPr>
          <w:rFonts w:ascii="Times New Roman" w:hAnsi="Times New Roman"/>
          <w:sz w:val="20"/>
        </w:rPr>
        <w:t>.</w:t>
      </w:r>
      <w:bookmarkEnd w:id="110"/>
    </w:p>
    <w:p w14:paraId="23A2BE22" w14:textId="77777777" w:rsidR="00E520D1" w:rsidRDefault="00000000">
      <w:pPr>
        <w:pStyle w:val="IEEEReference"/>
        <w:keepNext w:val="0"/>
        <w:spacing w:after="80" w:line="240" w:lineRule="exact"/>
        <w:ind w:left="360" w:hanging="360"/>
        <w:jc w:val="left"/>
      </w:pPr>
      <w:bookmarkStart w:id="111" w:name="ref_versioning"/>
      <w:r>
        <w:rPr>
          <w:rFonts w:ascii="Times New Roman" w:hAnsi="Times New Roman"/>
          <w:sz w:val="20"/>
        </w:rPr>
        <w:t xml:space="preserve">Souvik Bhattacherjee, Amit Chavan, Silu Huang, Amol Deshpande, and Aditya Parameswaran. 2015. Principles of Dataset Versioning: Exploring the Recreation/Storage Tradeoff. </w:t>
      </w:r>
      <w:r>
        <w:rPr>
          <w:rFonts w:ascii="Times New Roman" w:hAnsi="Times New Roman"/>
          <w:sz w:val="20"/>
          <w:i/>
        </w:rPr>
        <w:t>Proceedings of the VLDB Endowment 8</w:t>
      </w:r>
      <w:r>
        <w:rPr>
          <w:rFonts w:ascii="Times New Roman" w:hAnsi="Times New Roman"/>
          <w:sz w:val="20"/>
        </w:rPr>
        <w:t xml:space="preserve">, 12 (2015), 1346–1357. </w:t>
      </w:r>
      <w:hyperlink r:id="rId31">
        <w:r>
          <w:rPr>
            <w:rFonts w:ascii="Times New Roman" w:hAnsi="Times New Roman"/>
            <w:sz w:val="20"/>
            <w:color w:val="0000FF"/>
            <w:u w:val="single"/>
          </w:rPr>
          <w:t xml:space="preserve">https://doi.org/10.14778/2824032.2824035</w:t>
        </w:r>
      </w:hyperlink>
      <w:r>
        <w:rPr>
          <w:rFonts w:ascii="Times New Roman" w:hAnsi="Times New Roman"/>
          <w:sz w:val="20"/>
        </w:rPr>
        <w:t>.</w:t>
      </w:r>
      <w:bookmarkEnd w:id="111"/>
    </w:p>
    <w:p w14:paraId="3564DEDE" w14:textId="77777777" w:rsidR="00E520D1" w:rsidRDefault="00000000">
      <w:pPr>
        <w:pStyle w:val="IEEEReference"/>
        <w:keepNext w:val="0"/>
        <w:spacing w:after="80" w:line="240" w:lineRule="exact"/>
        <w:ind w:left="360" w:hanging="360"/>
        <w:jc w:val="left"/>
      </w:pPr>
      <w:bookmarkStart w:id="112" w:name="ref_delta"/>
      <w:r>
        <w:rPr>
          <w:rFonts w:ascii="Times New Roman" w:hAnsi="Times New Roman"/>
          <w:sz w:val="20"/>
        </w:rPr>
        <w:t xml:space="preserve">Michael Armbrust et al. 2020. Delta Lake: High-Performance ACID Table Storage over Cloud Object Stores. </w:t>
      </w:r>
      <w:r>
        <w:rPr>
          <w:rFonts w:ascii="Times New Roman" w:hAnsi="Times New Roman"/>
          <w:sz w:val="20"/>
          <w:i/>
        </w:rPr>
        <w:t>Proceedings of the VLDB Endowment 13</w:t>
      </w:r>
      <w:r>
        <w:rPr>
          <w:rFonts w:ascii="Times New Roman" w:hAnsi="Times New Roman"/>
          <w:sz w:val="20"/>
        </w:rPr>
        <w:t xml:space="preserve">, 12 (2020), 3411–3424. </w:t>
      </w:r>
      <w:hyperlink r:id="rId32">
        <w:r>
          <w:rPr>
            <w:rFonts w:ascii="Times New Roman" w:hAnsi="Times New Roman"/>
            <w:sz w:val="20"/>
            <w:color w:val="0000FF"/>
            <w:u w:val="single"/>
          </w:rPr>
          <w:t xml:space="preserve">https://doi.org/10.14778/3415478.3415560</w:t>
        </w:r>
      </w:hyperlink>
      <w:r>
        <w:rPr>
          <w:rFonts w:ascii="Times New Roman" w:hAnsi="Times New Roman"/>
          <w:sz w:val="20"/>
        </w:rPr>
        <w:t>.</w:t>
      </w:r>
      <w:bookmarkEnd w:id="112"/>
    </w:p>
    <w:p w14:paraId="79C6AD2E" w14:textId="77777777" w:rsidR="00E520D1" w:rsidRDefault="00000000">
      <w:pPr>
        <w:pStyle w:val="IEEEReference"/>
        <w:keepNext w:val="0"/>
        <w:spacing w:after="80" w:line="240" w:lineRule="exact"/>
        <w:ind w:left="360" w:hanging="360"/>
        <w:jc w:val="left"/>
      </w:pPr>
      <w:bookmarkStart w:id="113" w:name="ref_noms"/>
      <w:r>
        <w:rPr>
          <w:rFonts w:ascii="Times New Roman" w:hAnsi="Times New Roman"/>
          <w:sz w:val="20"/>
        </w:rPr>
        <w:t xml:space="preserve">Attic Labs. n.d. Noms Technical Overview. </w:t>
      </w:r>
      <w:r>
        <w:rPr>
          <w:rFonts w:ascii="Times New Roman" w:hAnsi="Times New Roman"/>
          <w:sz w:val="20"/>
          <w:i/>
        </w:rPr>
        <w:t>GitHub</w:t>
      </w:r>
      <w:r>
        <w:rPr>
          <w:rFonts w:ascii="Times New Roman" w:hAnsi="Times New Roman"/>
          <w:sz w:val="20"/>
        </w:rPr>
        <w:t xml:space="preserve">. Available at </w:t>
      </w:r>
      <w:hyperlink r:id="rId33">
        <w:r>
          <w:rPr>
            <w:rFonts w:ascii="Times New Roman" w:hAnsi="Times New Roman"/>
            <w:sz w:val="20"/>
            <w:color w:val="0000FF"/>
            <w:u w:val="single"/>
          </w:rPr>
          <w:t xml:space="preserve">https://github.com/attic-labs/noms/blob/master/doc/intro.md</w:t>
        </w:r>
      </w:hyperlink>
      <w:r>
        <w:rPr>
          <w:rFonts w:ascii="Times New Roman" w:hAnsi="Times New Roman"/>
          <w:sz w:val="20"/>
        </w:rPr>
        <w:t>.</w:t>
      </w:r>
      <w:bookmarkEnd w:id="113"/>
    </w:p>
    <w:p w14:paraId="55EEC94D" w14:textId="77777777" w:rsidR="00E520D1" w:rsidRDefault="00000000">
      <w:pPr>
        <w:pStyle w:val="IEEEReference"/>
        <w:keepNext w:val="0"/>
        <w:spacing w:after="80" w:line="240" w:lineRule="exact"/>
        <w:ind w:left="360" w:hanging="360"/>
        <w:jc w:val="left"/>
      </w:pPr>
      <w:bookmarkStart w:id="114" w:name="ref_forkbase"/>
      <w:r>
        <w:rPr>
          <w:rFonts w:ascii="Times New Roman" w:hAnsi="Times New Roman"/>
          <w:sz w:val="20"/>
        </w:rPr>
        <w:t xml:space="preserve">Sheng Wang et al. 2018. ForkBase: An Efficient Storage Engine for Blockchain and Forkable Applications. </w:t>
      </w:r>
      <w:r>
        <w:rPr>
          <w:rFonts w:ascii="Times New Roman" w:hAnsi="Times New Roman"/>
          <w:sz w:val="20"/>
          <w:i/>
        </w:rPr>
        <w:t>Proceedings of the VLDB Endowment 11</w:t>
      </w:r>
      <w:r>
        <w:rPr>
          <w:rFonts w:ascii="Times New Roman" w:hAnsi="Times New Roman"/>
          <w:sz w:val="20"/>
        </w:rPr>
        <w:t xml:space="preserve">, 10 (2018), 1137–1150. </w:t>
      </w:r>
      <w:hyperlink r:id="rId34">
        <w:r>
          <w:rPr>
            <w:rFonts w:ascii="Times New Roman" w:hAnsi="Times New Roman"/>
            <w:sz w:val="20"/>
            <w:color w:val="0000FF"/>
            <w:u w:val="single"/>
          </w:rPr>
          <w:t xml:space="preserve">https://doi.org/10.14778/3231751.3231762</w:t>
        </w:r>
      </w:hyperlink>
      <w:r>
        <w:rPr>
          <w:rFonts w:ascii="Times New Roman" w:hAnsi="Times New Roman"/>
          <w:sz w:val="20"/>
        </w:rPr>
        <w:t>.</w:t>
      </w:r>
      <w:bookmarkEnd w:id="114"/>
    </w:p>
    <w:p>
      <w:pPr>
        <w:pStyle w:val="IEEEReference"/>
      </w:pPr>
      <w:bookmarkStart w:id="115" w:name="ref_stratified"/>
      <w:r>
        <w:t>Andy Twigg, Andrew Byde, Grzegorz Miłos, Tim Moreton, John Wilkes, and Tom Wilkie. 2011. Stratified B-trees and versioning dictionaries. In Proceedings of the 3rd USENIX Workshop on Hot Topics in Storage and File Systems (HotStorage). Open version: https://arxiv.org/abs/1103.4282.</w:t>
      </w:r>
      <w:bookmarkEnd w:id="115"/>
    </w:p>
    <w:p>
      <w:pPr>
        <w:pStyle w:val="IEEEReference"/>
      </w:pPr>
      <w:bookmarkStart w:id="116" w:name="ref_scidb_version"/>
      <w:r>
        <w:t>Adam Seering, Philippe Cudré-Mauroux, Samuel Madden, and Michael Stonebraker. 2012. Efficient Versioning for Scientific Array Databases. In Proceedings of the 28th IEEE International Conference on Data Engineering (ICDE), 1013–1024. https://doi.org/10.1109/ICDE.2012.102. Public author-uploaded full text: https://www.researchgate.net/publication/241633210_Efficient_Versioning_for_Scientific_Array_Databases.</w:t>
      </w:r>
      <w:bookmarkEnd w:id="116"/>
    </w:p>
    <w:p>
      <w:pPr>
        <w:pStyle w:val="IEEEReference"/>
      </w:pPr>
      <w:bookmarkStart w:id="117" w:name="ref_timearr"/>
      <w:r>
        <w:t>Emad Soroush and Magdalena Balazinska. 2013. Time Travel in a Scientific Array Database. In Proceedings of the 29th IEEE International Conference on Data Engineering (ICDE), 98–109. https://doi.org/10.1109/ICDE.2013.6544817. Open author copy: https://scidb.cs.washington.edu/paper/ICDE13_conf_full_422.pdf.</w:t>
      </w:r>
      <w:bookmarkEnd w:id="117"/>
    </w:p>
    <w:p>
      <w:pPr>
        <w:pStyle w:val="IEEEReference"/>
      </w:pPr>
      <w:bookmarkStart w:id="118" w:name="ref_fully_persistent_btree"/>
      <w:r>
        <w:t>Gerth Stølting Brodal, Spyros Sioutas, Konstantinos Tsakalidis, and Kostas Tsichlas. 2020. Fully Persistent B-trees. Theoretical Computer Science 841 (2020), 10–26. https://doi.org/10.1016/j.tcs.2020.06.027. Open author copy: https://cs.au.dk/~gerth/papers/tcs20.pdf.</w:t>
      </w:r>
      <w:bookmarkEnd w:id="118"/>
    </w:p>
    <w:p>
      <w:pPr>
        <w:pStyle w:val="IEEEReference"/>
      </w:pPr>
      <w:bookmarkStart w:id="119" w:name="ref_replicated_versioned"/>
      <w:r>
        <w:t>Nazmus Saquib, Chandra Krintz, and Rich Wolski. 2023. Replicated Versioned Data Structures for Wide-Area Distributed Systems. IEEE Transactions on Parallel and Distributed Systems 34, 1 (2023), 207–224. https://doi.org/10.1109/TPDS.2022.3217969. Open author copy: https://racelab.cs.ucsb.edu/papers/tpds22-versioned.pdf.</w:t>
      </w:r>
      <w:bookmarkEnd w:id="119"/>
    </w:p>
    <w:p>
      <w:pPr>
        <w:pStyle w:val="IEEEReference"/>
      </w:pPr>
      <w:bookmarkStart w:id="120" w:name="ref_tardisdb"/>
      <w:r>
        <w:t>Maximilian E. Schüle, Lukas Karnowski, Josef Schmeißer, Benedikt Kleiner, Alfons Kemper, and Thomas Neumann. 2019. Versioning in Main-Memory Database Systems: From MusaeusDB to TardisDB. In Proceedings of the 31st International Conference on Scientific and Statistical Database Management (SSDBM), 169–180. https://doi.org/10.1145/3335783.3335792. Open author copy: https://www-db.cs.tum.edu/~schuele/data/tardis.pdf.</w:t>
      </w:r>
      <w:bookmarkEnd w:id="120"/>
    </w:p>
    <w:p>
      <w:pPr>
        <w:pStyle w:val="IEEEReference"/>
      </w:pPr>
      <w:bookmarkStart w:id="121" w:name="ref_provenance_whywhere"/>
      <w:r>
        <w:t>Peter Buneman, Sanjeev Khanna, and Wang-Chiew Tan. 2001. Why and Where: A Characterization of Data Provenance. In Database Theory: ICDT 2001, Lecture Notes in Computer Science 1973, 316–330. https://doi.org/10.1007/3-540-44503-X_20. Open author copy: https://www.research.ed.ac.uk/files/16509989/Why_and_Where_A_Characterization_of_Data_Provenance.pdf.</w:t>
      </w:r>
      <w:bookmarkEnd w:id="121"/>
    </w:p>
    <w:p>
      <w:pPr>
        <w:pStyle w:val="IEEEReference"/>
      </w:pPr>
      <w:bookmarkStart w:id="122" w:name="ref_differential_dataflow"/>
      <w:r>
        <w:t>Frank McSherry, Derek G. Murray, Rebecca Isaacs, and Michael Isard. 2013. Differential Dataflow. In Proceedings of the 6th Biennial Conference on Innovative Data Systems Research (CIDR). Open proceedings paper: https://www.cidrdb.org/cidr2013/Papers/CIDR13_Paper111.pdf.</w:t>
      </w:r>
      <w:bookmarkEnd w:id="122"/>
    </w:p>
    <w:p>
      <w:pPr>
        <w:pStyle w:val="IEEEReference"/>
      </w:pPr>
      <w:bookmarkStart w:id="123" w:name="ref_maneage"/>
      <w:r>
        <w:t>Mohammad Akhlaghi, Raúl Infante-Sainz, Boudewijn F. Roukema, Mohammadreza Khellat, David Valls-Gabaud, and Roberto Baena-Gallé. 2021. Toward Long-Term and Archivable Reproducibility. Computing in Science &amp; Engineering 23, 3 (2021), 82–91. https://doi.org/10.1109/MCSE.2021.3072860. Open preprint: https://arxiv.org/abs/2006.03018.</w:t>
      </w:r>
      <w:bookmarkEnd w:id="123"/>
    </w:p>
    <w:p>
      <w:pPr>
        <w:pStyle w:val="IEEEReference"/>
      </w:pPr>
      <w:bookmarkStart w:id="124" w:name="ref_explain_dav"/>
      <w:r>
        <w:t>Roee Shraga and Renée J. Miller. 2023. Explaining Dataset Changes for Semantic Data Versioning with Explain-Da-V (Technical Report). arXiv:2301.13095. Preprint: https://arxiv.org/abs/2301.13095.</w:t>
      </w:r>
      <w:bookmarkEnd w:id="124"/>
    </w:p>
    <w:p>
      <w:pPr>
        <w:pStyle w:val="IEEEReference"/>
      </w:pPr>
      <w:bookmarkStart w:id="125" w:name="ref_graph_versioning"/>
      <w:r>
        <w:t>Anxin Guo, Jingwei Li, Pattara Sukprasert, Samir Khuller, Amol Deshpande, and Koyel Mukherjee. 2024. To Store or Not to Store: A Graph Theoretical Approach for Dataset Versioning. In Proceedings of the IEEE International Parallel and Distributed Processing Symposium (IPDPS). https://doi.org/10.1109/IPDPS57955.2024.00049. Open preprint: https://arxiv.org/abs/2402.11741.</w:t>
      </w:r>
      <w:bookmarkEnd w:id="125"/>
    </w:p>
    <w:p>
      <w:pPr>
        <w:pStyle w:val="IEEEReference"/>
      </w:pPr>
      <w:bookmarkStart w:id="126" w:name="ref_fair_versioning"/>
      <w:r>
        <w:t>Alba González-Cebrián, Michael Bradford, Adriana E. Chis, and Horacio González-Vélez. 2024. Standardised Versioning of Datasets: A FAIR-Compliant Proposal. Scientific Data 11 (2024), Article 358. https://doi.org/10.1038/s41597-024-03153-y. Open access: https://www.nature.com/articles/s41597-024-03153-y.</w:t>
      </w:r>
      <w:bookmarkEnd w:id="126"/>
    </w:p>
    <w:p>
      <w:pPr>
        <w:pStyle w:val="IEEEReference"/>
      </w:pPr>
      <w:bookmarkStart w:id="127" w:name="ref_dslog"/>
      <w:r>
        <w:t>Jinjin Zhao and Sanjay Krishnan. 2024. Compression and In-Situ Query Processing for Fine-Grained Array Lineage. arXiv:2405.17701. Preprint: https://arxiv.org/abs/2405.17701.</w:t>
      </w:r>
      <w:bookmarkEnd w:id="127"/>
    </w:p>
    <w:p>
      <w:pPr>
        <w:pStyle w:val="IEEEReference"/>
      </w:pPr>
      <w:bookmarkStart w:id="128" w:name="ref_git4data"/>
      <w:r>
        <w:t>Hongshen Gou, Zuyu Zhang, Yuze Sun, Peng Xu, Feng Tian, Long Wang, and Jianguo Wang. 2026. Git4Data: Database-Native Version Control for AI Agents. arXiv:2609.02106. Preprint: https://arxiv.org/abs/2609.02106.</w:t>
      </w:r>
      <w:bookmarkEnd w:id="128"/>
    </w:p>
    <w:p>
      <w:pPr>
        <w:pStyle w:val="IEEEReference"/>
      </w:pPr>
      <w:bookmarkStart w:id="129" w:name="ref_baseline"/>
      <w:r>
        <w:t>Jonathan Edwards and Tomas Petricek. 2025. Baseline: Operation-Based Evolution and Versioning of Data. arXiv:2512.09762 (2025; updated 2026). Preprint: https://arxiv.org/abs/2512.09762.</w:t>
      </w:r>
      <w:bookmarkEnd w:id="129"/>
    </w:p>
    <w:p w14:paraId="44AD7819" w14:textId="77777777" w:rsidR="00E520D1" w:rsidRDefault="00000000">
      <w:pPr>
        <w:pStyle w:val="Heading1"/>
        <w:keepNext/>
        <w:spacing w:before="140" w:after="60"/>
        <w:ind w:firstLine="0"/>
        <w:jc w:val="center"/>
      </w:pPr>
      <w:r>
        <w:rPr>
          <w:rFonts w:ascii="Times New Roman" w:hAnsi="Times New Roman" w:cs="Times New Roman" w:eastAsia="Times New Roman"/>
          <w:b/>
          <w:i w:val="0"/>
          <w:sz w:val="24"/>
        </w:rPr>
        <w:t>APPENDIX A. REPRODUCIBILITY AND DATA AVAILABILITY</w:t>
      </w:r>
    </w:p>
    <w:p w14:paraId="4DE52ADA" w14:textId="77777777" w:rsidR="00E520D1" w:rsidRDefault="00000000">
      <w:pPr>
        <w:keepNext w:val="0"/>
        <w:spacing w:line="272" w:lineRule="exact" w:after="0"/>
        <w:ind w:firstLine="216"/>
        <w:jc w:val="both"/>
      </w:pPr>
      <w:r>
        <w:t>The repository includes the benchmark harness, evidence audit, paired-ratio analysis, multi-seed robustness study, and manuscript validation tools. The corrected primary paper-profile bundle is evidence/paper-corrected-issues13-17-counterbalanced-final-20260923; its paired ratio intervals are in paired_ratio_uncertainty.csv. The Windows and WSL2 sensitivity bundles are evidence/paper-issues18-20-robustness-20260923 and evidence/paper-issues18-20-linux-wsl-20260923. Supplemental Windows telemetry is in evidence/paper-issues14-windows-telemetry-20260924, and trie sensitivity results are in evidence/trie-sensitivity-issues8-20260923. These bundles retain raw rows, manifests, audits, summaries, and seed-cluster intervals. They support checks of evidence consistency; they do not independently reproduce timing results. The project repository is https://github.com/atharvasheersh/Revon.</w:t>
      </w:r>
    </w:p>
    <w:p w14:paraId="6BA9C9E1" w14:textId="77777777" w:rsidR="00E520D1" w:rsidRDefault="00E520D1">
      <w:pPr>
        <w:keepNext w:val="0"/>
        <w:spacing w:line="272" w:lineRule="exact" w:after="0"/>
        <w:ind w:firstLine="216"/>
        <w:jc w:val="both"/>
        <w:sectPr w:rsidR="00E520D1">
          <w:type w:val="continuous"/>
          <w:pgSz w:w="11909" w:h="16834"/>
          <w:pgMar w:top="1440" w:right="1440" w:bottom="1440" w:left="1440" w:header="360" w:footer="360" w:gutter="0"/>
          <w:cols w:space="340" w:num="2" w:equalWidth="1"/>
          <w:docGrid w:linePitch="360"/>
        </w:sectPr>
      </w:pPr>
    </w:p>
    <w:p w14:paraId="6BB2B106" w14:textId="77777777" w:rsidR="008875D8" w:rsidRDefault="008875D8">
      <w:pPr>
        <w:keepNext w:val="0"/>
        <w:spacing w:line="272" w:lineRule="exact" w:after="0"/>
        <w:ind w:firstLine="216"/>
        <w:jc w:val="both"/>
      </w:pPr>
    </w:p>
    <w:sectPr w:rsidR="008875D8" w:rsidSect="00034616">
      <w:type w:val="continuous"/>
      <w:pgSz w:w="11909" w:h="16834"/>
      <w:pgMar w:top="1440" w:right="1440" w:bottom="1440" w:left="1440" w:header="360" w:footer="360" w:gutter="0"/>
      <w:cols w:space="340" w:num="2" w:equalWidth="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39688" w14:textId="77777777" w:rsidR="00B01D3F" w:rsidRDefault="00B01D3F">
      <w:pPr>
        <w:spacing w:line="240" w:lineRule="auto"/>
      </w:pPr>
      <w:r>
        <w:separator/>
      </w:r>
    </w:p>
  </w:endnote>
  <w:endnote w:type="continuationSeparator" w:id="0">
    <w:p w14:paraId="5D379AD9" w14:textId="77777777" w:rsidR="00B01D3F" w:rsidRDefault="00B01D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A3462" w14:textId="77777777" w:rsidR="00E520D1" w:rsidRDefault="00E52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D2CE3" w14:textId="77777777" w:rsidR="00B01D3F" w:rsidRDefault="00B01D3F">
      <w:pPr>
        <w:spacing w:line="240" w:lineRule="auto"/>
      </w:pPr>
      <w:r>
        <w:separator/>
      </w:r>
    </w:p>
  </w:footnote>
  <w:footnote w:type="continuationSeparator" w:id="0">
    <w:p w14:paraId="0A0DC388" w14:textId="77777777" w:rsidR="00B01D3F" w:rsidRDefault="00B01D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3AEBC" w14:textId="77777777" w:rsidR="00E520D1" w:rsidRDefault="00E520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9387988">
    <w:abstractNumId w:val="8"/>
  </w:num>
  <w:num w:numId="2" w16cid:durableId="432018602">
    <w:abstractNumId w:val="6"/>
  </w:num>
  <w:num w:numId="3" w16cid:durableId="471752045">
    <w:abstractNumId w:val="5"/>
  </w:num>
  <w:num w:numId="4" w16cid:durableId="1830512188">
    <w:abstractNumId w:val="4"/>
  </w:num>
  <w:num w:numId="5" w16cid:durableId="1565875225">
    <w:abstractNumId w:val="7"/>
  </w:num>
  <w:num w:numId="6" w16cid:durableId="1237670613">
    <w:abstractNumId w:val="3"/>
  </w:num>
  <w:num w:numId="7" w16cid:durableId="795566673">
    <w:abstractNumId w:val="2"/>
  </w:num>
  <w:num w:numId="8" w16cid:durableId="24598211">
    <w:abstractNumId w:val="1"/>
  </w:num>
  <w:num w:numId="9" w16cid:durableId="1384527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AB6"/>
    <w:rsid w:val="0006063C"/>
    <w:rsid w:val="0015074B"/>
    <w:rsid w:val="0029639D"/>
    <w:rsid w:val="00326F90"/>
    <w:rsid w:val="003A0FB8"/>
    <w:rsid w:val="003B6C94"/>
    <w:rsid w:val="00606D5B"/>
    <w:rsid w:val="00860599"/>
    <w:rsid w:val="008854F3"/>
    <w:rsid w:val="008875D8"/>
    <w:rsid w:val="00AA1D8D"/>
    <w:rsid w:val="00B01D3F"/>
    <w:rsid w:val="00B168B1"/>
    <w:rsid w:val="00B47730"/>
    <w:rsid w:val="00C31A95"/>
    <w:rsid w:val="00CB0664"/>
    <w:rsid w:val="00E520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0F6D92"/>
  <w14:defaultImageDpi w14:val="300"/>
  <w15:docId w15:val="{85955FFD-D84D-452F-9206-DDDC0D00F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72" w:lineRule="exact"/>
      <w:ind w:firstLine="216"/>
      <w:jc w:val="both"/>
    </w:pPr>
    <w:rPr>
      <w:rFonts w:ascii="Times New Roman" w:hAnsi="Times New Roman"/>
      <w:color w:val="000000"/>
      <w:sz w:val="22"/>
    </w:rPr>
  </w:style>
  <w:style w:type="paragraph" w:styleId="Heading1">
    <w:name w:val="heading 1"/>
    <w:basedOn w:val="Normal"/>
    <w:next w:val="Normal"/>
    <w:link w:val="Heading1Char"/>
    <w:uiPriority w:val="9"/>
    <w:qFormat/>
    <w:rsid w:val="00FC693F"/>
    <w:pPr>
      <w:keepNext/>
      <w:keepLines/>
      <w:spacing w:before="120" w:after="40"/>
      <w:ind w:firstLine="0"/>
      <w:jc w:val="left"/>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120" w:after="40"/>
      <w:ind w:firstLine="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after="40"/>
      <w:ind w:firstLine="0"/>
      <w:jc w:val="left"/>
      <w:outlineLvl w:val="2"/>
    </w:pPr>
    <w:rPr>
      <w:rFonts w:asciiTheme="majorHAnsi" w:eastAsiaTheme="majorEastAsia" w:hAnsiTheme="majorHAnsi" w:cstheme="majorBidi"/>
      <w:b/>
      <w:bCs/>
      <w:sz w:val="2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60" w:after="560" w:line="320" w:lineRule="exact"/>
      <w:contextualSpacing/>
      <w:jc w:val="center"/>
    </w:pPr>
    <w:rPr>
      <w:rFonts w:asciiTheme="majorHAnsi" w:eastAsiaTheme="majorEastAsia" w:hAnsiTheme="majorHAnsi" w:cstheme="majorBidi"/>
      <w:b/>
      <w:spacing w:val="5"/>
      <w:kern w:val="28"/>
      <w:sz w:val="29"/>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16"/>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288" w:hanging="216"/>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288" w:hanging="216"/>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line="240" w:lineRule="exact"/>
      <w:ind w:firstLine="0"/>
      <w:jc w:val="left"/>
    </w:pPr>
    <w:rPr>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Reference">
    <w:name w:val="IEEE Reference"/>
    <w:pPr>
      <w:spacing w:after="40" w:line="210" w:lineRule="exact"/>
      <w:ind w:left="216" w:hanging="216"/>
    </w:pPr>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tharva.sheersh2024@vitstudent.ac.in"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poornima.n@vit.ac.in" TargetMode="External"/><Relationship Id="rId19" Type="http://schemas.openxmlformats.org/officeDocument/2006/relationships/hyperlink" Target="https://github.com/atharvasheersh/Revon" TargetMode="External"/><Relationship Id="rId4" Type="http://schemas.openxmlformats.org/officeDocument/2006/relationships/settings" Target="settings.xml"/><Relationship Id="rId9" Type="http://schemas.openxmlformats.org/officeDocument/2006/relationships/hyperlink" Target="mailto:adhyan.jain2024@vitstudent.ac.in" TargetMode="External"/><Relationship Id="rId14" Type="http://schemas.openxmlformats.org/officeDocument/2006/relationships/image" Target="media/image2.png"/><Relationship Id="rId22" Type="http://schemas.openxmlformats.org/officeDocument/2006/relationships/hyperlink" Target="https://git-scm.com/book/en/v2/Git-Internals-Git-Objects" TargetMode="External"/><Relationship Id="rId23" Type="http://schemas.openxmlformats.org/officeDocument/2006/relationships/hyperlink" Target="https://www.dolthub.com/docs/architecture/storage-engine/block-store/" TargetMode="External"/><Relationship Id="rId24" Type="http://schemas.openxmlformats.org/officeDocument/2006/relationships/hyperlink" Target="https://www.dolthub.com/blog/2024-02-29-storage-engine/" TargetMode="External"/><Relationship Id="rId25" Type="http://schemas.openxmlformats.org/officeDocument/2006/relationships/hyperlink" Target="https://doi.org/10.1007/3-540-48184-2_32" TargetMode="External"/><Relationship Id="rId26" Type="http://schemas.openxmlformats.org/officeDocument/2006/relationships/hyperlink" Target="https://doi.org/10.1016/0022-0000(89)90034-2" TargetMode="External"/><Relationship Id="rId27" Type="http://schemas.openxmlformats.org/officeDocument/2006/relationships/hyperlink" Target="https://doi.org/10.1109/SRDS47363.2019.00032" TargetMode="External"/><Relationship Id="rId28" Type="http://schemas.openxmlformats.org/officeDocument/2006/relationships/hyperlink" Target="https://doi.org/10.1145/502034.502052" TargetMode="External"/><Relationship Id="rId29" Type="http://schemas.openxmlformats.org/officeDocument/2006/relationships/hyperlink" Target="https://doi.org/10.14778/2947618.2947619" TargetMode="External"/><Relationship Id="rId30" Type="http://schemas.openxmlformats.org/officeDocument/2006/relationships/hyperlink" Target="https://doi.org/10.14778/3115404.3115417" TargetMode="External"/><Relationship Id="rId31" Type="http://schemas.openxmlformats.org/officeDocument/2006/relationships/hyperlink" Target="https://doi.org/10.14778/2824032.2824035" TargetMode="External"/><Relationship Id="rId32" Type="http://schemas.openxmlformats.org/officeDocument/2006/relationships/hyperlink" Target="https://doi.org/10.14778/3415478.3415560" TargetMode="External"/><Relationship Id="rId33" Type="http://schemas.openxmlformats.org/officeDocument/2006/relationships/hyperlink" Target="https://github.com/attic-labs/noms/blob/master/doc/intro.md" TargetMode="External"/><Relationship Id="rId34" Type="http://schemas.openxmlformats.org/officeDocument/2006/relationships/hyperlink" Target="https://doi.org/10.14778/3231751.3231762" TargetMode="External"/><Relationship Id="rId35" Type="http://schemas.openxmlformats.org/officeDocument/2006/relationships/image" Target="media/image7.png"/><Relationship Id="rId36" Type="http://schemas.openxmlformats.org/officeDocument/2006/relationships/image" Target="media/image8.png"/><Relationship Id="rId37" Type="http://schemas.openxmlformats.org/officeDocument/2006/relationships/image" Target="media/image9.png"/><Relationship Id="rId3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3599</Words>
  <Characters>22531</Characters>
  <Application>Microsoft Office Word</Application>
  <DocSecurity>0</DocSecurity>
  <Lines>450</Lines>
  <Paragraphs>246</Paragraphs>
  <ScaleCrop>false</ScaleCrop>
  <HeadingPairs>
    <vt:vector size="2" baseType="variant">
      <vt:variant>
        <vt:lpstr>Title</vt:lpstr>
      </vt:variant>
      <vt:variant>
        <vt:i4>1</vt:i4>
      </vt:variant>
    </vt:vector>
  </HeadingPairs>
  <TitlesOfParts>
    <vt:vector size="1" baseType="lpstr">
      <vt:lpstr>Revon: A Content-Addressed Versioned Data Store: A Git-Inspired Approach to Structured Data Versioning Using Merkle Hash Tries</vt:lpstr>
    </vt:vector>
  </TitlesOfParts>
  <Manager/>
  <Company/>
  <LinksUpToDate>false</LinksUpToDate>
  <CharactersWithSpaces>25884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Revon: Git-Inspired Merkle Hash Trie Versioning for Structured Data</dc:title>
  <dc:subject>IEEE-style research manuscript on hybrid differencing for structured data versioning</dc:subject>
  <dc:creator>Atharva Sheersh Pandey; Adhyan Jain; Poornima Nedunchezhian</dc:creator>
  <cp:keywords>data versioning, Merkle hash trie, hybrid differencing, content-addressed storage, benchmark methodology</cp:keywords>
  <dc:description/>
  <cp:lastModifiedBy>Atharva Sheersh Pandey</cp:lastModifiedBy>
  <cp:revision>7</cp:revision>
  <cp:lastPrinted>2026-09-16T18:06:00Z</cp:lastPrinted>
  <dcterms:created xsi:type="dcterms:W3CDTF">2026-09-10T16:07:00Z</dcterms:created>
  <dcterms:modified xsi:type="dcterms:W3CDTF">2026-09-16T18:34:00Z</dcterms:modified>
  <cp:category/>
</cp:coreProperties>
</file>