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52A7FB" w14:textId="77777777" w:rsidR="003C0E89" w:rsidRDefault="00000000">
      <w:pPr>
        <w:spacing w:after="80"/>
      </w:pPr>
      <w:r>
        <w:rPr>
          <w:rFonts w:ascii="Calibri" w:eastAsia="Calibri" w:hAnsi="Calibri" w:cs="Calibri"/>
          <w:b/>
          <w:bCs/>
          <w:color w:val="1F3864"/>
          <w:sz w:val="34"/>
          <w:szCs w:val="34"/>
        </w:rPr>
        <w:t>Healthcare Billing Code Validation &amp; Denial-Risk Analytics</w:t>
      </w:r>
    </w:p>
    <w:p w14:paraId="28031D14" w14:textId="77777777" w:rsidR="003C0E89" w:rsidRDefault="00000000">
      <w:pPr>
        <w:spacing w:after="300"/>
      </w:pPr>
      <w:r>
        <w:rPr>
          <w:rFonts w:ascii="Calibri" w:eastAsia="Calibri" w:hAnsi="Calibri" w:cs="Calibri"/>
          <w:color w:val="595959"/>
          <w:sz w:val="22"/>
          <w:szCs w:val="22"/>
        </w:rPr>
        <w:t>Case Study: Problem, Solution, Impact &amp; Risk Management</w:t>
      </w:r>
    </w:p>
    <w:p w14:paraId="1A7F5A64" w14:textId="77777777" w:rsidR="003C0E89" w:rsidRDefault="00000000">
      <w:pPr>
        <w:pStyle w:val="Heading1"/>
        <w:spacing w:before="260" w:after="120"/>
      </w:pPr>
      <w:r>
        <w:t>1. Problem Statement</w:t>
      </w:r>
    </w:p>
    <w:p w14:paraId="22BB64CE" w14:textId="77777777" w:rsidR="003C0E89" w:rsidRDefault="00000000">
      <w:pPr>
        <w:spacing w:after="140"/>
      </w:pPr>
      <w:r>
        <w:rPr>
          <w:rFonts w:ascii="Calibri" w:eastAsia="Calibri" w:hAnsi="Calibri" w:cs="Calibri"/>
          <w:sz w:val="21"/>
          <w:szCs w:val="21"/>
        </w:rPr>
        <w:t>Every medical claim submitted to an insurance payer requires two linked pieces of information: a diagnosis code (ICD-10-CM) explaining why the patient was seen, and a procedure/service code (CPT or HCPCS Level II) explaining what was done. Payers evaluate “medical necessity” by checking whether the billed procedure is clinically justified by the stated diagnosis.</w:t>
      </w:r>
    </w:p>
    <w:p w14:paraId="0A16E857" w14:textId="77777777" w:rsidR="003C0E89" w:rsidRDefault="00000000">
      <w:pPr>
        <w:spacing w:after="140"/>
      </w:pPr>
      <w:r>
        <w:rPr>
          <w:rFonts w:ascii="Calibri" w:eastAsia="Calibri" w:hAnsi="Calibri" w:cs="Calibri"/>
          <w:sz w:val="21"/>
          <w:szCs w:val="21"/>
        </w:rPr>
        <w:t>In practice, this diagnosis-to-procedure linkage is validated manually or with limited automation in many billing workflows. That gap creates three recurring problems:</w:t>
      </w:r>
    </w:p>
    <w:p w14:paraId="2BDBF93E" w14:textId="77777777" w:rsidR="003C0E89" w:rsidRDefault="00000000">
      <w:pPr>
        <w:pStyle w:val="ListParagraph"/>
        <w:numPr>
          <w:ilvl w:val="0"/>
          <w:numId w:val="2"/>
        </w:numPr>
        <w:spacing w:after="70"/>
      </w:pPr>
      <w:r>
        <w:rPr>
          <w:rFonts w:ascii="Calibri" w:eastAsia="Calibri" w:hAnsi="Calibri" w:cs="Calibri"/>
          <w:sz w:val="21"/>
          <w:szCs w:val="21"/>
        </w:rPr>
        <w:t>Claim denials and payment delays caused by diagnosis/procedure mismatches that are only caught after submission, not before.</w:t>
      </w:r>
    </w:p>
    <w:p w14:paraId="30F59CBC" w14:textId="77777777" w:rsidR="003C0E89" w:rsidRDefault="00000000">
      <w:pPr>
        <w:pStyle w:val="ListParagraph"/>
        <w:numPr>
          <w:ilvl w:val="0"/>
          <w:numId w:val="2"/>
        </w:numPr>
        <w:spacing w:after="70"/>
      </w:pPr>
      <w:r>
        <w:rPr>
          <w:rFonts w:ascii="Calibri" w:eastAsia="Calibri" w:hAnsi="Calibri" w:cs="Calibri"/>
          <w:sz w:val="21"/>
          <w:szCs w:val="21"/>
        </w:rPr>
        <w:t xml:space="preserve">No centralized, </w:t>
      </w:r>
      <w:proofErr w:type="spellStart"/>
      <w:r>
        <w:rPr>
          <w:rFonts w:ascii="Calibri" w:eastAsia="Calibri" w:hAnsi="Calibri" w:cs="Calibri"/>
          <w:sz w:val="21"/>
          <w:szCs w:val="21"/>
        </w:rPr>
        <w:t>queryable</w:t>
      </w:r>
      <w:proofErr w:type="spellEnd"/>
      <w:r>
        <w:rPr>
          <w:rFonts w:ascii="Calibri" w:eastAsia="Calibri" w:hAnsi="Calibri" w:cs="Calibri"/>
          <w:sz w:val="21"/>
          <w:szCs w:val="21"/>
        </w:rPr>
        <w:t xml:space="preserve"> reference that billing staff or analysts can use to check whether a code pairing is likely to be reimbursed.</w:t>
      </w:r>
    </w:p>
    <w:p w14:paraId="598AB0A3" w14:textId="77777777" w:rsidR="003C0E89" w:rsidRDefault="00000000">
      <w:pPr>
        <w:pStyle w:val="ListParagraph"/>
        <w:numPr>
          <w:ilvl w:val="0"/>
          <w:numId w:val="2"/>
        </w:numPr>
        <w:spacing w:after="70"/>
      </w:pPr>
      <w:r>
        <w:rPr>
          <w:rFonts w:ascii="Calibri" w:eastAsia="Calibri" w:hAnsi="Calibri" w:cs="Calibri"/>
          <w:sz w:val="21"/>
          <w:szCs w:val="21"/>
        </w:rPr>
        <w:t>No systematic way to flag high-risk pairings before they go out the door, so errors are found reactively rather than proactively, driving rework, delayed cash flow, and administrative cost.</w:t>
      </w:r>
    </w:p>
    <w:p w14:paraId="38A73CF9" w14:textId="77777777" w:rsidR="003C0E89" w:rsidRDefault="00000000">
      <w:pPr>
        <w:spacing w:after="140"/>
      </w:pPr>
      <w:r>
        <w:rPr>
          <w:rFonts w:ascii="Calibri" w:eastAsia="Calibri" w:hAnsi="Calibri" w:cs="Calibri"/>
          <w:sz w:val="21"/>
          <w:szCs w:val="21"/>
        </w:rPr>
        <w:t>This case study builds a relational database and validation layer that addresses that gap directly, using publicly available code sets and a synthetic claims dataset that mirrors real-world billing patterns.</w:t>
      </w:r>
    </w:p>
    <w:p w14:paraId="02DAFB8C" w14:textId="77777777" w:rsidR="003C0E89" w:rsidRDefault="00000000">
      <w:pPr>
        <w:pStyle w:val="Heading1"/>
        <w:spacing w:before="260" w:after="120"/>
      </w:pPr>
      <w:r>
        <w:t>2. Solution</w:t>
      </w:r>
    </w:p>
    <w:p w14:paraId="25F0CA3B" w14:textId="77777777" w:rsidR="003C0E89" w:rsidRDefault="00000000">
      <w:pPr>
        <w:pStyle w:val="Heading2"/>
        <w:spacing w:before="180" w:after="90"/>
      </w:pPr>
      <w:r>
        <w:t>2.1 Database Design</w:t>
      </w:r>
    </w:p>
    <w:p w14:paraId="218AFEE6" w14:textId="77777777" w:rsidR="003C0E89" w:rsidRDefault="00000000">
      <w:pPr>
        <w:spacing w:after="140"/>
      </w:pPr>
      <w:r>
        <w:rPr>
          <w:rFonts w:ascii="Calibri" w:eastAsia="Calibri" w:hAnsi="Calibri" w:cs="Calibri"/>
          <w:sz w:val="21"/>
          <w:szCs w:val="21"/>
        </w:rPr>
        <w:t>A relational database (MySQL) with six core tables that separate reference data from transactional data from audit output: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3C0E89" w14:paraId="0D011140" w14:textId="77777777">
        <w:tblPrEx>
          <w:tblCellMar>
            <w:top w:w="0" w:type="dxa"/>
            <w:bottom w:w="0" w:type="dxa"/>
          </w:tblCellMar>
        </w:tblPrEx>
        <w:tc>
          <w:tcPr>
            <w:tcW w:w="2300" w:type="dxa"/>
            <w:shd w:val="clear" w:color="auto" w:fill="1F3864"/>
          </w:tcPr>
          <w:p w14:paraId="6C617047" w14:textId="77777777" w:rsidR="003C0E89" w:rsidRDefault="00000000">
            <w:r>
              <w:rPr>
                <w:rFonts w:ascii="Calibri" w:eastAsia="Calibri" w:hAnsi="Calibri" w:cs="Calibri"/>
                <w:b/>
                <w:bCs/>
                <w:color w:val="FFFFFF"/>
              </w:rPr>
              <w:t>Table</w:t>
            </w:r>
          </w:p>
        </w:tc>
        <w:tc>
          <w:tcPr>
            <w:tcW w:w="7200" w:type="dxa"/>
            <w:shd w:val="clear" w:color="auto" w:fill="1F3864"/>
          </w:tcPr>
          <w:p w14:paraId="711D52DE" w14:textId="77777777" w:rsidR="003C0E89" w:rsidRDefault="00000000">
            <w:r>
              <w:rPr>
                <w:rFonts w:ascii="Calibri" w:eastAsia="Calibri" w:hAnsi="Calibri" w:cs="Calibri"/>
                <w:b/>
                <w:bCs/>
                <w:color w:val="FFFFFF"/>
              </w:rPr>
              <w:t>Purpose</w:t>
            </w:r>
          </w:p>
        </w:tc>
      </w:tr>
      <w:tr w:rsidR="003C0E89" w14:paraId="384B463D" w14:textId="77777777">
        <w:tblPrEx>
          <w:tblCellMar>
            <w:top w:w="0" w:type="dxa"/>
            <w:bottom w:w="0" w:type="dxa"/>
          </w:tblCellMar>
        </w:tblPrEx>
        <w:tc>
          <w:tcPr>
            <w:tcW w:w="2300" w:type="dxa"/>
          </w:tcPr>
          <w:p w14:paraId="7CFF8ECD" w14:textId="77777777" w:rsidR="003C0E89" w:rsidRDefault="00000000">
            <w:r>
              <w:rPr>
                <w:rFonts w:ascii="Calibri" w:eastAsia="Calibri" w:hAnsi="Calibri" w:cs="Calibri"/>
                <w:color w:val="000000"/>
              </w:rPr>
              <w:t>diagnoses</w:t>
            </w:r>
          </w:p>
        </w:tc>
        <w:tc>
          <w:tcPr>
            <w:tcW w:w="7200" w:type="dxa"/>
            <w:shd w:val="clear" w:color="auto" w:fill="D9E2F3"/>
          </w:tcPr>
          <w:p w14:paraId="73164468" w14:textId="77777777" w:rsidR="003C0E89" w:rsidRDefault="00000000">
            <w:r>
              <w:rPr>
                <w:rFonts w:ascii="Calibri" w:eastAsia="Calibri" w:hAnsi="Calibri" w:cs="Calibri"/>
                <w:color w:val="000000"/>
              </w:rPr>
              <w:t>ICD-10-CM codes, descriptions, and clinical category grouping (25 sample codes across 12 clinical domains)</w:t>
            </w:r>
          </w:p>
        </w:tc>
      </w:tr>
      <w:tr w:rsidR="003C0E89" w14:paraId="55854D46" w14:textId="77777777">
        <w:tblPrEx>
          <w:tblCellMar>
            <w:top w:w="0" w:type="dxa"/>
            <w:bottom w:w="0" w:type="dxa"/>
          </w:tblCellMar>
        </w:tblPrEx>
        <w:tc>
          <w:tcPr>
            <w:tcW w:w="2300" w:type="dxa"/>
          </w:tcPr>
          <w:p w14:paraId="3AD260C3" w14:textId="77777777" w:rsidR="003C0E89" w:rsidRDefault="00000000">
            <w:r>
              <w:rPr>
                <w:rFonts w:ascii="Calibri" w:eastAsia="Calibri" w:hAnsi="Calibri" w:cs="Calibri"/>
                <w:color w:val="000000"/>
              </w:rPr>
              <w:t>procedures</w:t>
            </w:r>
          </w:p>
        </w:tc>
        <w:tc>
          <w:tcPr>
            <w:tcW w:w="7200" w:type="dxa"/>
            <w:shd w:val="clear" w:color="auto" w:fill="D9E2F3"/>
          </w:tcPr>
          <w:p w14:paraId="33D6E112" w14:textId="77777777" w:rsidR="003C0E89" w:rsidRDefault="00000000">
            <w:r>
              <w:rPr>
                <w:rFonts w:ascii="Calibri" w:eastAsia="Calibri" w:hAnsi="Calibri" w:cs="Calibri"/>
                <w:color w:val="000000"/>
              </w:rPr>
              <w:t>CPT and HCPCS-II codes with generic labels and service category (36 sample codes)</w:t>
            </w:r>
          </w:p>
        </w:tc>
      </w:tr>
      <w:tr w:rsidR="003C0E89" w14:paraId="558EBD1D" w14:textId="77777777">
        <w:tblPrEx>
          <w:tblCellMar>
            <w:top w:w="0" w:type="dxa"/>
            <w:bottom w:w="0" w:type="dxa"/>
          </w:tblCellMar>
        </w:tblPrEx>
        <w:tc>
          <w:tcPr>
            <w:tcW w:w="2300" w:type="dxa"/>
          </w:tcPr>
          <w:p w14:paraId="75F2592F" w14:textId="77777777" w:rsidR="003C0E89" w:rsidRDefault="00000000">
            <w:proofErr w:type="spellStart"/>
            <w:r>
              <w:rPr>
                <w:rFonts w:ascii="Calibri" w:eastAsia="Calibri" w:hAnsi="Calibri" w:cs="Calibri"/>
                <w:color w:val="000000"/>
              </w:rPr>
              <w:t>code_pairings_reference</w:t>
            </w:r>
            <w:proofErr w:type="spellEnd"/>
          </w:p>
        </w:tc>
        <w:tc>
          <w:tcPr>
            <w:tcW w:w="7200" w:type="dxa"/>
            <w:shd w:val="clear" w:color="auto" w:fill="D9E2F3"/>
          </w:tcPr>
          <w:p w14:paraId="6D544959" w14:textId="77777777" w:rsidR="003C0E89" w:rsidRDefault="00000000">
            <w:r>
              <w:rPr>
                <w:rFonts w:ascii="Calibri" w:eastAsia="Calibri" w:hAnsi="Calibri" w:cs="Calibri"/>
                <w:color w:val="000000"/>
              </w:rPr>
              <w:t>Medical-necessity logic: which procedure categories are typically justified by which diagnosis categories, tagged with a confidence tier</w:t>
            </w:r>
          </w:p>
        </w:tc>
      </w:tr>
      <w:tr w:rsidR="003C0E89" w14:paraId="2EA4C4D8" w14:textId="77777777">
        <w:tblPrEx>
          <w:tblCellMar>
            <w:top w:w="0" w:type="dxa"/>
            <w:bottom w:w="0" w:type="dxa"/>
          </w:tblCellMar>
        </w:tblPrEx>
        <w:tc>
          <w:tcPr>
            <w:tcW w:w="2300" w:type="dxa"/>
          </w:tcPr>
          <w:p w14:paraId="5FF9DD05" w14:textId="77777777" w:rsidR="003C0E89" w:rsidRDefault="00000000">
            <w:r>
              <w:rPr>
                <w:rFonts w:ascii="Calibri" w:eastAsia="Calibri" w:hAnsi="Calibri" w:cs="Calibri"/>
                <w:color w:val="000000"/>
              </w:rPr>
              <w:t>claims</w:t>
            </w:r>
          </w:p>
        </w:tc>
        <w:tc>
          <w:tcPr>
            <w:tcW w:w="7200" w:type="dxa"/>
            <w:shd w:val="clear" w:color="auto" w:fill="D9E2F3"/>
          </w:tcPr>
          <w:p w14:paraId="0FA100B4" w14:textId="77777777" w:rsidR="003C0E89" w:rsidRDefault="00000000">
            <w:r>
              <w:rPr>
                <w:rFonts w:ascii="Calibri" w:eastAsia="Calibri" w:hAnsi="Calibri" w:cs="Calibri"/>
                <w:color w:val="000000"/>
              </w:rPr>
              <w:t>Claim-line data: patient, payer, service date, diagnosis code, procedure code, billed amount, status, denial reason (200 sample claims)</w:t>
            </w:r>
          </w:p>
        </w:tc>
      </w:tr>
      <w:tr w:rsidR="003C0E89" w14:paraId="68D04CD2" w14:textId="77777777">
        <w:tblPrEx>
          <w:tblCellMar>
            <w:top w:w="0" w:type="dxa"/>
            <w:bottom w:w="0" w:type="dxa"/>
          </w:tblCellMar>
        </w:tblPrEx>
        <w:tc>
          <w:tcPr>
            <w:tcW w:w="2300" w:type="dxa"/>
          </w:tcPr>
          <w:p w14:paraId="022068F1" w14:textId="77777777" w:rsidR="003C0E89" w:rsidRDefault="00000000">
            <w:proofErr w:type="spellStart"/>
            <w:r>
              <w:rPr>
                <w:rFonts w:ascii="Calibri" w:eastAsia="Calibri" w:hAnsi="Calibri" w:cs="Calibri"/>
                <w:color w:val="000000"/>
              </w:rPr>
              <w:t>claim_flags</w:t>
            </w:r>
            <w:proofErr w:type="spellEnd"/>
          </w:p>
        </w:tc>
        <w:tc>
          <w:tcPr>
            <w:tcW w:w="7200" w:type="dxa"/>
            <w:shd w:val="clear" w:color="auto" w:fill="D9E2F3"/>
          </w:tcPr>
          <w:p w14:paraId="30668A31" w14:textId="77777777" w:rsidR="003C0E89" w:rsidRDefault="00000000">
            <w:r>
              <w:rPr>
                <w:rFonts w:ascii="Calibri" w:eastAsia="Calibri" w:hAnsi="Calibri" w:cs="Calibri"/>
                <w:color w:val="000000"/>
              </w:rPr>
              <w:t>Audit trail of validation output: which claims were flagged, at what confidence tier, and how a reviewer resolved the flag</w:t>
            </w:r>
          </w:p>
        </w:tc>
      </w:tr>
      <w:tr w:rsidR="003C0E89" w14:paraId="561377C9" w14:textId="77777777">
        <w:tblPrEx>
          <w:tblCellMar>
            <w:top w:w="0" w:type="dxa"/>
            <w:bottom w:w="0" w:type="dxa"/>
          </w:tblCellMar>
        </w:tblPrEx>
        <w:tc>
          <w:tcPr>
            <w:tcW w:w="2300" w:type="dxa"/>
          </w:tcPr>
          <w:p w14:paraId="1A200F06" w14:textId="77777777" w:rsidR="003C0E89" w:rsidRDefault="00000000">
            <w:proofErr w:type="spellStart"/>
            <w:r>
              <w:rPr>
                <w:rFonts w:ascii="Calibri" w:eastAsia="Calibri" w:hAnsi="Calibri" w:cs="Calibri"/>
                <w:color w:val="000000"/>
              </w:rPr>
              <w:t>denial_feedback</w:t>
            </w:r>
            <w:proofErr w:type="spellEnd"/>
          </w:p>
        </w:tc>
        <w:tc>
          <w:tcPr>
            <w:tcW w:w="7200" w:type="dxa"/>
            <w:shd w:val="clear" w:color="auto" w:fill="D9E2F3"/>
          </w:tcPr>
          <w:p w14:paraId="5AED20E2" w14:textId="77777777" w:rsidR="003C0E89" w:rsidRDefault="00000000">
            <w:r>
              <w:rPr>
                <w:rFonts w:ascii="Calibri" w:eastAsia="Calibri" w:hAnsi="Calibri" w:cs="Calibri"/>
                <w:color w:val="000000"/>
              </w:rPr>
              <w:t>Aggregated real-world outcomes per diagnosis/procedure pair; the feedback loop described in Section 4</w:t>
            </w:r>
          </w:p>
        </w:tc>
      </w:tr>
    </w:tbl>
    <w:p w14:paraId="43E73342" w14:textId="77777777" w:rsidR="003C0E89" w:rsidRDefault="003C0E89">
      <w:pPr>
        <w:spacing w:after="160"/>
      </w:pPr>
    </w:p>
    <w:p w14:paraId="17A651A2" w14:textId="77777777" w:rsidR="003C0E89" w:rsidRDefault="00000000">
      <w:pPr>
        <w:pStyle w:val="Heading2"/>
        <w:spacing w:before="180" w:after="90"/>
      </w:pPr>
      <w:r>
        <w:t>2.2 Validation Logic</w:t>
      </w:r>
    </w:p>
    <w:p w14:paraId="6296617B" w14:textId="77777777" w:rsidR="003C0E89" w:rsidRDefault="00000000">
      <w:pPr>
        <w:spacing w:after="140"/>
      </w:pPr>
      <w:r>
        <w:rPr>
          <w:rFonts w:ascii="Calibri" w:eastAsia="Calibri" w:hAnsi="Calibri" w:cs="Calibri"/>
          <w:sz w:val="21"/>
          <w:szCs w:val="21"/>
        </w:rPr>
        <w:t>Every claim is evaluated by joining its diagnosis category to its procedure category against the reference table. Instead of a binary valid/invalid outcome, each pairing resolves to one of four confidence tiers — the same triage approach real revenue-cycle-management systems use rather than auto-rejecting everything uncertain:</w:t>
      </w:r>
    </w:p>
    <w:p w14:paraId="3E269D46" w14:textId="77777777" w:rsidR="003C0E89" w:rsidRDefault="00000000">
      <w:pPr>
        <w:pStyle w:val="ListParagraph"/>
        <w:numPr>
          <w:ilvl w:val="0"/>
          <w:numId w:val="2"/>
        </w:numPr>
        <w:spacing w:after="70"/>
      </w:pPr>
      <w:r>
        <w:rPr>
          <w:rFonts w:ascii="Calibri" w:eastAsia="Calibri" w:hAnsi="Calibri" w:cs="Calibri"/>
          <w:sz w:val="21"/>
          <w:szCs w:val="21"/>
        </w:rPr>
        <w:lastRenderedPageBreak/>
        <w:t>HIGH — well-established, routinely reimbursed pairing (example: diabetes diagnosis plus A1c lab test).</w:t>
      </w:r>
    </w:p>
    <w:p w14:paraId="6A6C6E5A" w14:textId="77777777" w:rsidR="003C0E89" w:rsidRDefault="00000000">
      <w:pPr>
        <w:pStyle w:val="ListParagraph"/>
        <w:numPr>
          <w:ilvl w:val="0"/>
          <w:numId w:val="2"/>
        </w:numPr>
        <w:spacing w:after="70"/>
      </w:pPr>
      <w:r>
        <w:rPr>
          <w:rFonts w:ascii="Calibri" w:eastAsia="Calibri" w:hAnsi="Calibri" w:cs="Calibri"/>
          <w:sz w:val="21"/>
          <w:szCs w:val="21"/>
        </w:rPr>
        <w:t>MEDIUM — plausible pairing that depends on clinical context and is not automatically approved (example: cardiovascular diagnosis plus CT imaging).</w:t>
      </w:r>
    </w:p>
    <w:p w14:paraId="5CD2706C" w14:textId="77777777" w:rsidR="003C0E89" w:rsidRDefault="00000000">
      <w:pPr>
        <w:pStyle w:val="ListParagraph"/>
        <w:numPr>
          <w:ilvl w:val="0"/>
          <w:numId w:val="2"/>
        </w:numPr>
        <w:spacing w:after="70"/>
      </w:pPr>
      <w:r>
        <w:rPr>
          <w:rFonts w:ascii="Calibri" w:eastAsia="Calibri" w:hAnsi="Calibri" w:cs="Calibri"/>
          <w:sz w:val="21"/>
          <w:szCs w:val="21"/>
        </w:rPr>
        <w:t>REVIEW — pairing exists but has historically drawn high payer scrutiny (example: chest pain plus EKG in the emergency department).</w:t>
      </w:r>
    </w:p>
    <w:p w14:paraId="102FD77F" w14:textId="77777777" w:rsidR="003C0E89" w:rsidRDefault="00000000">
      <w:pPr>
        <w:pStyle w:val="ListParagraph"/>
        <w:numPr>
          <w:ilvl w:val="0"/>
          <w:numId w:val="2"/>
        </w:numPr>
        <w:spacing w:after="70"/>
      </w:pPr>
      <w:r>
        <w:rPr>
          <w:rFonts w:ascii="Calibri" w:eastAsia="Calibri" w:hAnsi="Calibri" w:cs="Calibri"/>
          <w:sz w:val="21"/>
          <w:szCs w:val="21"/>
        </w:rPr>
        <w:t>NO_MATCH — no reference relationship found between the diagnosis and procedure category; highest denial risk.</w:t>
      </w:r>
    </w:p>
    <w:p w14:paraId="166AEB12" w14:textId="77777777" w:rsidR="003C0E89" w:rsidRDefault="00000000">
      <w:pPr>
        <w:spacing w:after="140"/>
      </w:pPr>
      <w:r>
        <w:rPr>
          <w:rFonts w:ascii="Calibri" w:eastAsia="Calibri" w:hAnsi="Calibri" w:cs="Calibri"/>
          <w:sz w:val="21"/>
          <w:szCs w:val="21"/>
        </w:rPr>
        <w:t>This logic lives in SQL views so it can be queried directly or fed into a BI tool, rather than being recomputed ad hoc every time someone needs an answer.</w:t>
      </w:r>
    </w:p>
    <w:p w14:paraId="1EC8D367" w14:textId="77777777" w:rsidR="003C0E89" w:rsidRDefault="00000000">
      <w:pPr>
        <w:pStyle w:val="Heading2"/>
        <w:spacing w:before="180" w:after="90"/>
      </w:pPr>
      <w:r>
        <w:t>2.3 Dashboard</w:t>
      </w:r>
    </w:p>
    <w:p w14:paraId="1962E34C" w14:textId="77777777" w:rsidR="003C0E89" w:rsidRDefault="00000000">
      <w:pPr>
        <w:spacing w:after="140"/>
      </w:pPr>
      <w:r>
        <w:rPr>
          <w:rFonts w:ascii="Calibri" w:eastAsia="Calibri" w:hAnsi="Calibri" w:cs="Calibri"/>
          <w:sz w:val="21"/>
          <w:szCs w:val="21"/>
        </w:rPr>
        <w:t>An Excel workbook presents the validation output: KPI cards for total claims, overall denial rate, and dollars at risk; a denial-rate-by-confidence-tier chart; a denial-rate-by-payer chart; and full drill-down tables for diagnoses, procedures, pairings, claims, and flags. KPI cards use live spreadsheet formulas against the raw claims data rather than hardcoded numbers, so the dashboard recalculates if the underlying data changes.</w:t>
      </w:r>
    </w:p>
    <w:p w14:paraId="01B69C07" w14:textId="77777777" w:rsidR="003C0E89" w:rsidRDefault="00000000">
      <w:pPr>
        <w:pStyle w:val="Heading1"/>
        <w:spacing w:before="260" w:after="120"/>
      </w:pPr>
      <w:r>
        <w:t>3. Impact</w:t>
      </w:r>
    </w:p>
    <w:p w14:paraId="558C5B9C" w14:textId="77777777" w:rsidR="003C0E89" w:rsidRDefault="00000000">
      <w:pPr>
        <w:spacing w:after="140"/>
      </w:pPr>
      <w:r>
        <w:rPr>
          <w:rFonts w:ascii="Calibri" w:eastAsia="Calibri" w:hAnsi="Calibri" w:cs="Calibri"/>
          <w:sz w:val="21"/>
          <w:szCs w:val="21"/>
        </w:rPr>
        <w:t>Because the confidence-tier logic was applied to generate realistic claim outcomes, the resulting dataset demonstrates the exact pattern this project is designed to catch: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900"/>
        <w:gridCol w:w="1900"/>
        <w:gridCol w:w="1900"/>
      </w:tblGrid>
      <w:tr w:rsidR="003C0E89" w14:paraId="61088930" w14:textId="77777777">
        <w:tblPrEx>
          <w:tblCellMar>
            <w:top w:w="0" w:type="dxa"/>
            <w:bottom w:w="0" w:type="dxa"/>
          </w:tblCellMar>
        </w:tblPrEx>
        <w:tc>
          <w:tcPr>
            <w:tcW w:w="2200" w:type="dxa"/>
            <w:shd w:val="clear" w:color="auto" w:fill="1F3864"/>
          </w:tcPr>
          <w:p w14:paraId="04A349D1" w14:textId="77777777" w:rsidR="003C0E89" w:rsidRDefault="00000000">
            <w:r>
              <w:rPr>
                <w:rFonts w:ascii="Calibri" w:eastAsia="Calibri" w:hAnsi="Calibri" w:cs="Calibri"/>
                <w:b/>
                <w:bCs/>
                <w:color w:val="FFFFFF"/>
              </w:rPr>
              <w:t>Confidence Tier</w:t>
            </w:r>
          </w:p>
        </w:tc>
        <w:tc>
          <w:tcPr>
            <w:tcW w:w="1600" w:type="dxa"/>
            <w:shd w:val="clear" w:color="auto" w:fill="1F3864"/>
          </w:tcPr>
          <w:p w14:paraId="07538EC0" w14:textId="77777777" w:rsidR="003C0E89" w:rsidRDefault="00000000">
            <w:r>
              <w:rPr>
                <w:rFonts w:ascii="Calibri" w:eastAsia="Calibri" w:hAnsi="Calibri" w:cs="Calibri"/>
                <w:b/>
                <w:bCs/>
                <w:color w:val="FFFFFF"/>
              </w:rPr>
              <w:t>Claims</w:t>
            </w:r>
          </w:p>
        </w:tc>
        <w:tc>
          <w:tcPr>
            <w:tcW w:w="1900" w:type="dxa"/>
            <w:shd w:val="clear" w:color="auto" w:fill="1F3864"/>
          </w:tcPr>
          <w:p w14:paraId="2B981B97" w14:textId="77777777" w:rsidR="003C0E89" w:rsidRDefault="00000000">
            <w:r>
              <w:rPr>
                <w:rFonts w:ascii="Calibri" w:eastAsia="Calibri" w:hAnsi="Calibri" w:cs="Calibri"/>
                <w:b/>
                <w:bCs/>
                <w:color w:val="FFFFFF"/>
              </w:rPr>
              <w:t>Denial Rate</w:t>
            </w:r>
          </w:p>
        </w:tc>
        <w:tc>
          <w:tcPr>
            <w:tcW w:w="1900" w:type="dxa"/>
            <w:shd w:val="clear" w:color="auto" w:fill="1F3864"/>
          </w:tcPr>
          <w:p w14:paraId="05674068" w14:textId="77777777" w:rsidR="003C0E89" w:rsidRDefault="00000000">
            <w:r>
              <w:rPr>
                <w:rFonts w:ascii="Calibri" w:eastAsia="Calibri" w:hAnsi="Calibri" w:cs="Calibri"/>
                <w:b/>
                <w:bCs/>
                <w:color w:val="FFFFFF"/>
              </w:rPr>
              <w:t>Dollars Billed</w:t>
            </w:r>
          </w:p>
        </w:tc>
        <w:tc>
          <w:tcPr>
            <w:tcW w:w="1900" w:type="dxa"/>
            <w:shd w:val="clear" w:color="auto" w:fill="1F3864"/>
          </w:tcPr>
          <w:p w14:paraId="651E935F" w14:textId="77777777" w:rsidR="003C0E89" w:rsidRDefault="00000000">
            <w:r>
              <w:rPr>
                <w:rFonts w:ascii="Calibri" w:eastAsia="Calibri" w:hAnsi="Calibri" w:cs="Calibri"/>
                <w:b/>
                <w:bCs/>
                <w:color w:val="FFFFFF"/>
              </w:rPr>
              <w:t>Dollars Denied</w:t>
            </w:r>
          </w:p>
        </w:tc>
      </w:tr>
      <w:tr w:rsidR="003C0E89" w14:paraId="5A13DE4F" w14:textId="77777777">
        <w:tblPrEx>
          <w:tblCellMar>
            <w:top w:w="0" w:type="dxa"/>
            <w:bottom w:w="0" w:type="dxa"/>
          </w:tblCellMar>
        </w:tblPrEx>
        <w:tc>
          <w:tcPr>
            <w:tcW w:w="2200" w:type="dxa"/>
          </w:tcPr>
          <w:p w14:paraId="1F83E2F0" w14:textId="77777777" w:rsidR="003C0E89" w:rsidRDefault="00000000">
            <w:r>
              <w:rPr>
                <w:rFonts w:ascii="Calibri" w:eastAsia="Calibri" w:hAnsi="Calibri" w:cs="Calibri"/>
                <w:color w:val="000000"/>
              </w:rPr>
              <w:t>HIGH</w:t>
            </w:r>
          </w:p>
        </w:tc>
        <w:tc>
          <w:tcPr>
            <w:tcW w:w="1600" w:type="dxa"/>
          </w:tcPr>
          <w:p w14:paraId="21A5C544" w14:textId="77777777" w:rsidR="003C0E89" w:rsidRDefault="00000000">
            <w:r>
              <w:rPr>
                <w:rFonts w:ascii="Calibri" w:eastAsia="Calibri" w:hAnsi="Calibri" w:cs="Calibri"/>
                <w:color w:val="000000"/>
              </w:rPr>
              <w:t>109</w:t>
            </w:r>
          </w:p>
        </w:tc>
        <w:tc>
          <w:tcPr>
            <w:tcW w:w="1900" w:type="dxa"/>
          </w:tcPr>
          <w:p w14:paraId="6F8D7E64" w14:textId="77777777" w:rsidR="003C0E89" w:rsidRDefault="00000000">
            <w:r>
              <w:rPr>
                <w:rFonts w:ascii="Calibri" w:eastAsia="Calibri" w:hAnsi="Calibri" w:cs="Calibri"/>
                <w:color w:val="375623"/>
              </w:rPr>
              <w:t>4.6%</w:t>
            </w:r>
          </w:p>
        </w:tc>
        <w:tc>
          <w:tcPr>
            <w:tcW w:w="1900" w:type="dxa"/>
          </w:tcPr>
          <w:p w14:paraId="2236C77A" w14:textId="77777777" w:rsidR="003C0E89" w:rsidRDefault="00000000">
            <w:r>
              <w:rPr>
                <w:rFonts w:ascii="Calibri" w:eastAsia="Calibri" w:hAnsi="Calibri" w:cs="Calibri"/>
                <w:color w:val="000000"/>
              </w:rPr>
              <w:t>$225,064</w:t>
            </w:r>
          </w:p>
        </w:tc>
        <w:tc>
          <w:tcPr>
            <w:tcW w:w="1900" w:type="dxa"/>
          </w:tcPr>
          <w:p w14:paraId="2A8F649F" w14:textId="77777777" w:rsidR="003C0E89" w:rsidRDefault="00000000">
            <w:r>
              <w:rPr>
                <w:rFonts w:ascii="Calibri" w:eastAsia="Calibri" w:hAnsi="Calibri" w:cs="Calibri"/>
                <w:color w:val="000000"/>
              </w:rPr>
              <w:t>$7,553</w:t>
            </w:r>
          </w:p>
        </w:tc>
      </w:tr>
      <w:tr w:rsidR="003C0E89" w14:paraId="52E8C79C" w14:textId="77777777">
        <w:tblPrEx>
          <w:tblCellMar>
            <w:top w:w="0" w:type="dxa"/>
            <w:bottom w:w="0" w:type="dxa"/>
          </w:tblCellMar>
        </w:tblPrEx>
        <w:tc>
          <w:tcPr>
            <w:tcW w:w="2200" w:type="dxa"/>
          </w:tcPr>
          <w:p w14:paraId="47445F88" w14:textId="77777777" w:rsidR="003C0E89" w:rsidRDefault="00000000">
            <w:r>
              <w:rPr>
                <w:rFonts w:ascii="Calibri" w:eastAsia="Calibri" w:hAnsi="Calibri" w:cs="Calibri"/>
                <w:color w:val="000000"/>
              </w:rPr>
              <w:t>MEDIUM</w:t>
            </w:r>
          </w:p>
        </w:tc>
        <w:tc>
          <w:tcPr>
            <w:tcW w:w="1600" w:type="dxa"/>
          </w:tcPr>
          <w:p w14:paraId="2511AE4A" w14:textId="77777777" w:rsidR="003C0E89" w:rsidRDefault="00000000">
            <w:r>
              <w:rPr>
                <w:rFonts w:ascii="Calibri" w:eastAsia="Calibri" w:hAnsi="Calibri" w:cs="Calibri"/>
                <w:color w:val="000000"/>
              </w:rPr>
              <w:t>50</w:t>
            </w:r>
          </w:p>
        </w:tc>
        <w:tc>
          <w:tcPr>
            <w:tcW w:w="1900" w:type="dxa"/>
          </w:tcPr>
          <w:p w14:paraId="3258041B" w14:textId="77777777" w:rsidR="003C0E89" w:rsidRDefault="00000000">
            <w:r>
              <w:rPr>
                <w:rFonts w:ascii="Calibri" w:eastAsia="Calibri" w:hAnsi="Calibri" w:cs="Calibri"/>
                <w:color w:val="BF8F00"/>
              </w:rPr>
              <w:t>30.0%</w:t>
            </w:r>
          </w:p>
        </w:tc>
        <w:tc>
          <w:tcPr>
            <w:tcW w:w="1900" w:type="dxa"/>
          </w:tcPr>
          <w:p w14:paraId="75A254A0" w14:textId="77777777" w:rsidR="003C0E89" w:rsidRDefault="00000000">
            <w:r>
              <w:rPr>
                <w:rFonts w:ascii="Calibri" w:eastAsia="Calibri" w:hAnsi="Calibri" w:cs="Calibri"/>
                <w:color w:val="000000"/>
              </w:rPr>
              <w:t>$101,157</w:t>
            </w:r>
          </w:p>
        </w:tc>
        <w:tc>
          <w:tcPr>
            <w:tcW w:w="1900" w:type="dxa"/>
          </w:tcPr>
          <w:p w14:paraId="6F956FA4" w14:textId="77777777" w:rsidR="003C0E89" w:rsidRDefault="00000000">
            <w:r>
              <w:rPr>
                <w:rFonts w:ascii="Calibri" w:eastAsia="Calibri" w:hAnsi="Calibri" w:cs="Calibri"/>
                <w:color w:val="000000"/>
              </w:rPr>
              <w:t>$40,870</w:t>
            </w:r>
          </w:p>
        </w:tc>
      </w:tr>
      <w:tr w:rsidR="003C0E89" w14:paraId="0CAA146F" w14:textId="77777777">
        <w:tblPrEx>
          <w:tblCellMar>
            <w:top w:w="0" w:type="dxa"/>
            <w:bottom w:w="0" w:type="dxa"/>
          </w:tblCellMar>
        </w:tblPrEx>
        <w:tc>
          <w:tcPr>
            <w:tcW w:w="2200" w:type="dxa"/>
          </w:tcPr>
          <w:p w14:paraId="473E8E34" w14:textId="77777777" w:rsidR="003C0E89" w:rsidRDefault="00000000">
            <w:r>
              <w:rPr>
                <w:rFonts w:ascii="Calibri" w:eastAsia="Calibri" w:hAnsi="Calibri" w:cs="Calibri"/>
                <w:color w:val="000000"/>
              </w:rPr>
              <w:t>NO_MATCH</w:t>
            </w:r>
          </w:p>
        </w:tc>
        <w:tc>
          <w:tcPr>
            <w:tcW w:w="1600" w:type="dxa"/>
          </w:tcPr>
          <w:p w14:paraId="45E23543" w14:textId="77777777" w:rsidR="003C0E89" w:rsidRDefault="00000000">
            <w:r>
              <w:rPr>
                <w:rFonts w:ascii="Calibri" w:eastAsia="Calibri" w:hAnsi="Calibri" w:cs="Calibri"/>
                <w:color w:val="000000"/>
              </w:rPr>
              <w:t>41</w:t>
            </w:r>
          </w:p>
        </w:tc>
        <w:tc>
          <w:tcPr>
            <w:tcW w:w="1900" w:type="dxa"/>
          </w:tcPr>
          <w:p w14:paraId="1222130D" w14:textId="77777777" w:rsidR="003C0E89" w:rsidRDefault="00000000">
            <w:r>
              <w:rPr>
                <w:rFonts w:ascii="Calibri" w:eastAsia="Calibri" w:hAnsi="Calibri" w:cs="Calibri"/>
                <w:color w:val="C00000"/>
              </w:rPr>
              <w:t>78.0%</w:t>
            </w:r>
          </w:p>
        </w:tc>
        <w:tc>
          <w:tcPr>
            <w:tcW w:w="1900" w:type="dxa"/>
          </w:tcPr>
          <w:p w14:paraId="404186AE" w14:textId="77777777" w:rsidR="003C0E89" w:rsidRDefault="00000000">
            <w:r>
              <w:rPr>
                <w:rFonts w:ascii="Calibri" w:eastAsia="Calibri" w:hAnsi="Calibri" w:cs="Calibri"/>
                <w:color w:val="000000"/>
              </w:rPr>
              <w:t>$95,823</w:t>
            </w:r>
          </w:p>
        </w:tc>
        <w:tc>
          <w:tcPr>
            <w:tcW w:w="1900" w:type="dxa"/>
          </w:tcPr>
          <w:p w14:paraId="2CD89A74" w14:textId="77777777" w:rsidR="003C0E89" w:rsidRDefault="00000000">
            <w:r>
              <w:rPr>
                <w:rFonts w:ascii="Calibri" w:eastAsia="Calibri" w:hAnsi="Calibri" w:cs="Calibri"/>
                <w:color w:val="000000"/>
              </w:rPr>
              <w:t>$76,129</w:t>
            </w:r>
          </w:p>
        </w:tc>
      </w:tr>
    </w:tbl>
    <w:p w14:paraId="73DE93F4" w14:textId="77777777" w:rsidR="003C0E89" w:rsidRDefault="003C0E89">
      <w:pPr>
        <w:spacing w:after="160"/>
      </w:pPr>
    </w:p>
    <w:p w14:paraId="3CDEE93C" w14:textId="77777777" w:rsidR="003C0E89" w:rsidRDefault="00000000">
      <w:pPr>
        <w:spacing w:after="140"/>
      </w:pPr>
      <w:r>
        <w:rPr>
          <w:rFonts w:ascii="Calibri" w:eastAsia="Calibri" w:hAnsi="Calibri" w:cs="Calibri"/>
          <w:sz w:val="21"/>
          <w:szCs w:val="21"/>
        </w:rPr>
        <w:t>Framed as impact statements, usable directly on a resume or in a portfolio writeup:</w:t>
      </w:r>
    </w:p>
    <w:p w14:paraId="4EA6645C" w14:textId="77777777" w:rsidR="003C0E89" w:rsidRDefault="00000000">
      <w:pPr>
        <w:pStyle w:val="ListParagraph"/>
        <w:numPr>
          <w:ilvl w:val="0"/>
          <w:numId w:val="2"/>
        </w:numPr>
        <w:spacing w:after="70"/>
      </w:pPr>
      <w:r>
        <w:rPr>
          <w:rFonts w:ascii="Calibri" w:eastAsia="Calibri" w:hAnsi="Calibri" w:cs="Calibri"/>
          <w:sz w:val="21"/>
          <w:szCs w:val="21"/>
        </w:rPr>
        <w:t>Built a database and validation logic that separated claims into risk tiers spanning a 4.6% to 78% denial-rate range, showing the model successfully isolates high-risk billing pairs before submission.</w:t>
      </w:r>
    </w:p>
    <w:p w14:paraId="6064F4C9" w14:textId="77777777" w:rsidR="003C0E89" w:rsidRDefault="00000000">
      <w:pPr>
        <w:pStyle w:val="ListParagraph"/>
        <w:numPr>
          <w:ilvl w:val="0"/>
          <w:numId w:val="2"/>
        </w:numPr>
        <w:spacing w:after="70"/>
      </w:pPr>
      <w:r>
        <w:rPr>
          <w:rFonts w:ascii="Calibri" w:eastAsia="Calibri" w:hAnsi="Calibri" w:cs="Calibri"/>
          <w:sz w:val="21"/>
          <w:szCs w:val="21"/>
        </w:rPr>
        <w:t>Identified that NO_MATCH pairings, roughly 21% of claim volume, accounted for over 39% of all denied dollars in the sample — the highest-leverage segment for pre-submission review.</w:t>
      </w:r>
    </w:p>
    <w:p w14:paraId="1C0FBB48" w14:textId="77777777" w:rsidR="003C0E89" w:rsidRDefault="00000000">
      <w:pPr>
        <w:pStyle w:val="ListParagraph"/>
        <w:numPr>
          <w:ilvl w:val="0"/>
          <w:numId w:val="2"/>
        </w:numPr>
        <w:spacing w:after="70"/>
      </w:pPr>
      <w:r>
        <w:rPr>
          <w:rFonts w:ascii="Calibri" w:eastAsia="Calibri" w:hAnsi="Calibri" w:cs="Calibri"/>
          <w:sz w:val="21"/>
          <w:szCs w:val="21"/>
        </w:rPr>
        <w:t>Designed a dashboard surfacing denial rate by payer (ranging 7.4% to 42.3% across 7 simulated payers) to help prioritize which payer relationships need the most billing-process attention.</w:t>
      </w:r>
    </w:p>
    <w:p w14:paraId="22908117" w14:textId="77777777" w:rsidR="003C0E89" w:rsidRDefault="00000000">
      <w:pPr>
        <w:spacing w:after="140"/>
      </w:pPr>
      <w:r>
        <w:rPr>
          <w:rFonts w:ascii="Calibri" w:eastAsia="Calibri" w:hAnsi="Calibri" w:cs="Calibri"/>
          <w:sz w:val="21"/>
          <w:szCs w:val="21"/>
        </w:rPr>
        <w:t>In a production setting, flagging NO_MATCH and REVIEW-tier claims before submission, rather than after denial, is the mechanism that converts this analysis into reduced rework, faster reimbursement, and lower administrative cost per claim.</w:t>
      </w:r>
    </w:p>
    <w:p w14:paraId="1CB51138" w14:textId="77777777" w:rsidR="003C0E89" w:rsidRDefault="00000000">
      <w:pPr>
        <w:pStyle w:val="Heading1"/>
        <w:spacing w:before="260" w:after="120"/>
      </w:pPr>
      <w:r>
        <w:t>4. Risk Management</w:t>
      </w:r>
    </w:p>
    <w:p w14:paraId="69625E38" w14:textId="77777777" w:rsidR="003C0E89" w:rsidRDefault="00000000">
      <w:pPr>
        <w:spacing w:after="140"/>
      </w:pPr>
      <w:r>
        <w:rPr>
          <w:rFonts w:ascii="Calibri" w:eastAsia="Calibri" w:hAnsi="Calibri" w:cs="Calibri"/>
          <w:sz w:val="21"/>
          <w:szCs w:val="21"/>
        </w:rPr>
        <w:t>Diagnosis-procedure validation can never be a fully solved, static problem: code sets update annually, payer-specific medical necessity rules vary and change, and no reference table can anticipate every legitimate clinical edge case. Rather than treating a rules table as sufficient on its own, the project manages that residual risk through five mechanisms:</w:t>
      </w:r>
    </w:p>
    <w:p w14:paraId="7DC5721E" w14:textId="77777777" w:rsidR="003C0E89" w:rsidRDefault="00000000">
      <w:pPr>
        <w:pStyle w:val="ListParagraph"/>
        <w:numPr>
          <w:ilvl w:val="0"/>
          <w:numId w:val="2"/>
        </w:numPr>
        <w:spacing w:after="70"/>
      </w:pPr>
      <w:r>
        <w:rPr>
          <w:rFonts w:ascii="Calibri" w:eastAsia="Calibri" w:hAnsi="Calibri" w:cs="Calibri"/>
          <w:sz w:val="21"/>
          <w:szCs w:val="21"/>
        </w:rPr>
        <w:t>Confidence tiers instead of binary pass/fail — uncertain pairings (MEDIUM/REVIEW) are routed to a human reviewer instead of being auto-approved or auto-rejected, avoiding both false confidence and unnecessary blocking of legitimate claims.</w:t>
      </w:r>
    </w:p>
    <w:p w14:paraId="1AB7D8B2" w14:textId="77777777" w:rsidR="003C0E89" w:rsidRDefault="00000000">
      <w:pPr>
        <w:pStyle w:val="ListParagraph"/>
        <w:numPr>
          <w:ilvl w:val="0"/>
          <w:numId w:val="2"/>
        </w:numPr>
        <w:spacing w:after="70"/>
      </w:pPr>
      <w:r>
        <w:rPr>
          <w:rFonts w:ascii="Calibri" w:eastAsia="Calibri" w:hAnsi="Calibri" w:cs="Calibri"/>
          <w:sz w:val="21"/>
          <w:szCs w:val="21"/>
        </w:rPr>
        <w:lastRenderedPageBreak/>
        <w:t xml:space="preserve">Versioning — every diagnosis and procedure record carries a </w:t>
      </w:r>
      <w:proofErr w:type="spellStart"/>
      <w:r>
        <w:rPr>
          <w:rFonts w:ascii="Calibri" w:eastAsia="Calibri" w:hAnsi="Calibri" w:cs="Calibri"/>
          <w:sz w:val="21"/>
          <w:szCs w:val="21"/>
        </w:rPr>
        <w:t>code_version_year</w:t>
      </w:r>
      <w:proofErr w:type="spellEnd"/>
      <w:r>
        <w:rPr>
          <w:rFonts w:ascii="Calibri" w:eastAsia="Calibri" w:hAnsi="Calibri" w:cs="Calibri"/>
          <w:sz w:val="21"/>
          <w:szCs w:val="21"/>
        </w:rPr>
        <w:t xml:space="preserve"> field, since ICD-10-CM, CPT, and HCPCS all release annual updates; the reference logic must be re-validated each cycle rather than treated as permanent.</w:t>
      </w:r>
    </w:p>
    <w:p w14:paraId="1A00D871" w14:textId="77777777" w:rsidR="003C0E89" w:rsidRDefault="00000000">
      <w:pPr>
        <w:pStyle w:val="ListParagraph"/>
        <w:numPr>
          <w:ilvl w:val="0"/>
          <w:numId w:val="2"/>
        </w:numPr>
        <w:spacing w:after="70"/>
      </w:pPr>
      <w:r>
        <w:rPr>
          <w:rFonts w:ascii="Calibri" w:eastAsia="Calibri" w:hAnsi="Calibri" w:cs="Calibri"/>
          <w:sz w:val="21"/>
          <w:szCs w:val="21"/>
        </w:rPr>
        <w:t xml:space="preserve">Audit trail — the </w:t>
      </w:r>
      <w:proofErr w:type="spellStart"/>
      <w:r>
        <w:rPr>
          <w:rFonts w:ascii="Calibri" w:eastAsia="Calibri" w:hAnsi="Calibri" w:cs="Calibri"/>
          <w:sz w:val="21"/>
          <w:szCs w:val="21"/>
        </w:rPr>
        <w:t>claim_flags</w:t>
      </w:r>
      <w:proofErr w:type="spellEnd"/>
      <w:r>
        <w:rPr>
          <w:rFonts w:ascii="Calibri" w:eastAsia="Calibri" w:hAnsi="Calibri" w:cs="Calibri"/>
          <w:sz w:val="21"/>
          <w:szCs w:val="21"/>
        </w:rPr>
        <w:t xml:space="preserve"> table logs every flag raised and how it was resolved (approved, overridden, or pending review), supporting compliance review and showing exactly where the model's judgment did or did not match the eventual outcome.</w:t>
      </w:r>
    </w:p>
    <w:p w14:paraId="2D7C2E3C" w14:textId="77777777" w:rsidR="003C0E89" w:rsidRDefault="00000000">
      <w:pPr>
        <w:pStyle w:val="ListParagraph"/>
        <w:numPr>
          <w:ilvl w:val="0"/>
          <w:numId w:val="2"/>
        </w:numPr>
        <w:spacing w:after="70"/>
      </w:pPr>
      <w:r>
        <w:rPr>
          <w:rFonts w:ascii="Calibri" w:eastAsia="Calibri" w:hAnsi="Calibri" w:cs="Calibri"/>
          <w:sz w:val="21"/>
          <w:szCs w:val="21"/>
        </w:rPr>
        <w:t xml:space="preserve">Feedback loop — the </w:t>
      </w:r>
      <w:proofErr w:type="spellStart"/>
      <w:r>
        <w:rPr>
          <w:rFonts w:ascii="Calibri" w:eastAsia="Calibri" w:hAnsi="Calibri" w:cs="Calibri"/>
          <w:sz w:val="21"/>
          <w:szCs w:val="21"/>
        </w:rPr>
        <w:t>denial_feedback</w:t>
      </w:r>
      <w:proofErr w:type="spellEnd"/>
      <w:r>
        <w:rPr>
          <w:rFonts w:ascii="Calibri" w:eastAsia="Calibri" w:hAnsi="Calibri" w:cs="Calibri"/>
          <w:sz w:val="21"/>
          <w:szCs w:val="21"/>
        </w:rPr>
        <w:t xml:space="preserve"> table aggregates real submission and denial outcomes per code pair over time. As more claims flow through the system, this closes the loop: pairings that turn out to deny frequently can be reclassified from MEDIUM to REVIEW, and reference logic improves from actual results instead of staying fixed at initial assumptions.</w:t>
      </w:r>
    </w:p>
    <w:p w14:paraId="10067CB5" w14:textId="77777777" w:rsidR="003C0E89" w:rsidRDefault="00000000">
      <w:pPr>
        <w:pStyle w:val="ListParagraph"/>
        <w:numPr>
          <w:ilvl w:val="0"/>
          <w:numId w:val="2"/>
        </w:numPr>
        <w:spacing w:after="70"/>
      </w:pPr>
      <w:r>
        <w:rPr>
          <w:rFonts w:ascii="Calibri" w:eastAsia="Calibri" w:hAnsi="Calibri" w:cs="Calibri"/>
          <w:sz w:val="21"/>
          <w:szCs w:val="21"/>
        </w:rPr>
        <w:t>Escalation, not elimination — the goal is to shrink the pool of claims that need manual review to the smallest, highest-risk subset, not to remove human review entirely. Residual risk is managed, tracked, and continuously narrowed rather than assumed away.</w:t>
      </w:r>
    </w:p>
    <w:p w14:paraId="63EAD51D" w14:textId="77777777" w:rsidR="003C0E89" w:rsidRDefault="00000000">
      <w:pPr>
        <w:pStyle w:val="Heading2"/>
        <w:spacing w:before="180" w:after="90"/>
      </w:pPr>
      <w:r>
        <w:t>4.1 Known Limitations (honest framing)</w:t>
      </w:r>
    </w:p>
    <w:p w14:paraId="42FE9D91" w14:textId="77777777" w:rsidR="003C0E89" w:rsidRDefault="00000000">
      <w:pPr>
        <w:pStyle w:val="ListParagraph"/>
        <w:numPr>
          <w:ilvl w:val="0"/>
          <w:numId w:val="2"/>
        </w:numPr>
        <w:spacing w:after="70"/>
      </w:pPr>
      <w:r>
        <w:rPr>
          <w:rFonts w:ascii="Calibri" w:eastAsia="Calibri" w:hAnsi="Calibri" w:cs="Calibri"/>
          <w:sz w:val="21"/>
          <w:szCs w:val="21"/>
        </w:rPr>
        <w:t xml:space="preserve">The </w:t>
      </w:r>
      <w:proofErr w:type="spellStart"/>
      <w:r>
        <w:rPr>
          <w:rFonts w:ascii="Calibri" w:eastAsia="Calibri" w:hAnsi="Calibri" w:cs="Calibri"/>
          <w:sz w:val="21"/>
          <w:szCs w:val="21"/>
        </w:rPr>
        <w:t>code_pairings_reference</w:t>
      </w:r>
      <w:proofErr w:type="spellEnd"/>
      <w:r>
        <w:rPr>
          <w:rFonts w:ascii="Calibri" w:eastAsia="Calibri" w:hAnsi="Calibri" w:cs="Calibri"/>
          <w:sz w:val="21"/>
          <w:szCs w:val="21"/>
        </w:rPr>
        <w:t xml:space="preserve"> logic in this project is illustrative and synthetic — built to demonstrate the validation approach, not sourced from a specific payer's actual LCD/NCD medical-necessity policy documents. A production system would need to ingest real payer coverage policies.</w:t>
      </w:r>
    </w:p>
    <w:p w14:paraId="3CEF89F6" w14:textId="77777777" w:rsidR="003C0E89" w:rsidRDefault="00000000">
      <w:pPr>
        <w:pStyle w:val="ListParagraph"/>
        <w:numPr>
          <w:ilvl w:val="0"/>
          <w:numId w:val="2"/>
        </w:numPr>
        <w:spacing w:after="70"/>
      </w:pPr>
      <w:r>
        <w:rPr>
          <w:rFonts w:ascii="Calibri" w:eastAsia="Calibri" w:hAnsi="Calibri" w:cs="Calibri"/>
          <w:sz w:val="21"/>
          <w:szCs w:val="21"/>
        </w:rPr>
        <w:t>CPT code descriptions are shown only as short generic labels, not the AMA's official descriptor text, due to CPT licensing restrictions.</w:t>
      </w:r>
    </w:p>
    <w:p w14:paraId="4C8C6461" w14:textId="77777777" w:rsidR="003C0E89" w:rsidRDefault="00000000">
      <w:pPr>
        <w:pStyle w:val="ListParagraph"/>
        <w:numPr>
          <w:ilvl w:val="0"/>
          <w:numId w:val="2"/>
        </w:numPr>
        <w:spacing w:after="70"/>
      </w:pPr>
      <w:r>
        <w:rPr>
          <w:rFonts w:ascii="Calibri" w:eastAsia="Calibri" w:hAnsi="Calibri" w:cs="Calibri"/>
          <w:sz w:val="21"/>
          <w:szCs w:val="21"/>
        </w:rPr>
        <w:t>The claims dataset (200 rows) is synthetically generated to demonstrate the risk-tiering pattern; it is not real patient or billing data.</w:t>
      </w:r>
    </w:p>
    <w:p w14:paraId="40F3B80D" w14:textId="77777777" w:rsidR="003C0E89" w:rsidRDefault="003C0E89">
      <w:pPr>
        <w:spacing w:after="200"/>
      </w:pPr>
    </w:p>
    <w:p w14:paraId="60E8AA41" w14:textId="1839027A" w:rsidR="003C0E89" w:rsidRDefault="003C0E89"/>
    <w:sectPr w:rsidR="003C0E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14046"/>
    <w:multiLevelType w:val="hybridMultilevel"/>
    <w:tmpl w:val="121AE8A8"/>
    <w:lvl w:ilvl="0" w:tplc="2DBAC4FE">
      <w:start w:val="1"/>
      <w:numFmt w:val="bullet"/>
      <w:lvlText w:val="•"/>
      <w:lvlJc w:val="left"/>
    </w:lvl>
    <w:lvl w:ilvl="1" w:tplc="DEBC6EA6">
      <w:numFmt w:val="decimal"/>
      <w:lvlText w:val=""/>
      <w:lvlJc w:val="left"/>
    </w:lvl>
    <w:lvl w:ilvl="2" w:tplc="7046A01E">
      <w:numFmt w:val="decimal"/>
      <w:lvlText w:val=""/>
      <w:lvlJc w:val="left"/>
    </w:lvl>
    <w:lvl w:ilvl="3" w:tplc="4FE0D128">
      <w:numFmt w:val="decimal"/>
      <w:lvlText w:val=""/>
      <w:lvlJc w:val="left"/>
    </w:lvl>
    <w:lvl w:ilvl="4" w:tplc="A4B40656">
      <w:numFmt w:val="decimal"/>
      <w:lvlText w:val=""/>
      <w:lvlJc w:val="left"/>
    </w:lvl>
    <w:lvl w:ilvl="5" w:tplc="61186EFC">
      <w:numFmt w:val="decimal"/>
      <w:lvlText w:val=""/>
      <w:lvlJc w:val="left"/>
    </w:lvl>
    <w:lvl w:ilvl="6" w:tplc="16201EB0">
      <w:numFmt w:val="decimal"/>
      <w:lvlText w:val=""/>
      <w:lvlJc w:val="left"/>
    </w:lvl>
    <w:lvl w:ilvl="7" w:tplc="B6AC9B08">
      <w:numFmt w:val="decimal"/>
      <w:lvlText w:val=""/>
      <w:lvlJc w:val="left"/>
    </w:lvl>
    <w:lvl w:ilvl="8" w:tplc="182CB4EC">
      <w:numFmt w:val="decimal"/>
      <w:lvlText w:val=""/>
      <w:lvlJc w:val="left"/>
    </w:lvl>
  </w:abstractNum>
  <w:abstractNum w:abstractNumId="1" w15:restartNumberingAfterBreak="0">
    <w:nsid w:val="7B7920EE"/>
    <w:multiLevelType w:val="hybridMultilevel"/>
    <w:tmpl w:val="FA94B32C"/>
    <w:lvl w:ilvl="0" w:tplc="54780CA6">
      <w:start w:val="1"/>
      <w:numFmt w:val="bullet"/>
      <w:lvlText w:val="●"/>
      <w:lvlJc w:val="left"/>
      <w:pPr>
        <w:ind w:left="720" w:hanging="360"/>
      </w:pPr>
    </w:lvl>
    <w:lvl w:ilvl="1" w:tplc="767CD4BC">
      <w:start w:val="1"/>
      <w:numFmt w:val="bullet"/>
      <w:lvlText w:val="○"/>
      <w:lvlJc w:val="left"/>
      <w:pPr>
        <w:ind w:left="1440" w:hanging="360"/>
      </w:pPr>
    </w:lvl>
    <w:lvl w:ilvl="2" w:tplc="BF98CBFA">
      <w:start w:val="1"/>
      <w:numFmt w:val="bullet"/>
      <w:lvlText w:val="■"/>
      <w:lvlJc w:val="left"/>
      <w:pPr>
        <w:ind w:left="2160" w:hanging="360"/>
      </w:pPr>
    </w:lvl>
    <w:lvl w:ilvl="3" w:tplc="F25C4946">
      <w:start w:val="1"/>
      <w:numFmt w:val="bullet"/>
      <w:lvlText w:val="●"/>
      <w:lvlJc w:val="left"/>
      <w:pPr>
        <w:ind w:left="2880" w:hanging="360"/>
      </w:pPr>
    </w:lvl>
    <w:lvl w:ilvl="4" w:tplc="614E4B7C">
      <w:start w:val="1"/>
      <w:numFmt w:val="bullet"/>
      <w:lvlText w:val="○"/>
      <w:lvlJc w:val="left"/>
      <w:pPr>
        <w:ind w:left="3600" w:hanging="360"/>
      </w:pPr>
    </w:lvl>
    <w:lvl w:ilvl="5" w:tplc="2FECDB76">
      <w:start w:val="1"/>
      <w:numFmt w:val="bullet"/>
      <w:lvlText w:val="■"/>
      <w:lvlJc w:val="left"/>
      <w:pPr>
        <w:ind w:left="4320" w:hanging="360"/>
      </w:pPr>
    </w:lvl>
    <w:lvl w:ilvl="6" w:tplc="F992F9AE">
      <w:start w:val="1"/>
      <w:numFmt w:val="bullet"/>
      <w:lvlText w:val="●"/>
      <w:lvlJc w:val="left"/>
      <w:pPr>
        <w:ind w:left="5040" w:hanging="360"/>
      </w:pPr>
    </w:lvl>
    <w:lvl w:ilvl="7" w:tplc="16C6EED2">
      <w:start w:val="1"/>
      <w:numFmt w:val="bullet"/>
      <w:lvlText w:val="●"/>
      <w:lvlJc w:val="left"/>
      <w:pPr>
        <w:ind w:left="5760" w:hanging="360"/>
      </w:pPr>
    </w:lvl>
    <w:lvl w:ilvl="8" w:tplc="77A8F8B2">
      <w:start w:val="1"/>
      <w:numFmt w:val="bullet"/>
      <w:lvlText w:val="●"/>
      <w:lvlJc w:val="left"/>
      <w:pPr>
        <w:ind w:left="6480" w:hanging="360"/>
      </w:pPr>
    </w:lvl>
  </w:abstractNum>
  <w:num w:numId="1" w16cid:durableId="554779384">
    <w:abstractNumId w:val="1"/>
    <w:lvlOverride w:ilvl="0">
      <w:startOverride w:val="1"/>
    </w:lvlOverride>
  </w:num>
  <w:num w:numId="2" w16cid:durableId="17392062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E89"/>
    <w:rsid w:val="003C0E89"/>
    <w:rsid w:val="00515A34"/>
    <w:rsid w:val="00631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38884F"/>
  <w15:docId w15:val="{C337DBDE-6AB1-BB49-AA54-26FC2C12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Parulkar</cp:lastModifiedBy>
  <cp:revision>2</cp:revision>
  <dcterms:created xsi:type="dcterms:W3CDTF">2026-08-11T07:40:00Z</dcterms:created>
  <dcterms:modified xsi:type="dcterms:W3CDTF">2026-08-11T08:04:00Z</dcterms:modified>
</cp:coreProperties>
</file>