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Healthcare Billing Code Validation &amp; Denial-Risk Analytics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Project Summary and Tech Stack</w:t>
      </w:r>
    </w:p>
    <w:p>
      <w:pPr>
        <w:pStyle w:val="Heading1"/>
        <w:spacing w:after="120" w:before="260"/>
      </w:pPr>
      <w:r>
        <w:t xml:space="preserve">Project Overview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Validates whether ICD-10 diagnosis codes and CPT/HCPCS procedure codes on a medical claim form a clinically justifiable pairing, flags likely-to-deny claims before submission using a confidence-tier system, and visualizes denial risk by code, category, and payer.</w:t>
      </w:r>
    </w:p>
    <w:p>
      <w:pPr>
        <w:spacing w:after="140"/>
      </w:pPr>
      <w:r>
        <w:rPr>
          <w:rFonts w:ascii="Calibri" w:cs="Calibri" w:eastAsia="Calibri" w:hAnsi="Calibri"/>
          <w:sz w:val="21"/>
          <w:szCs w:val="21"/>
        </w:rPr>
        <w:t xml:space="preserve">Core result: claims tagged HIGH confidence denied at approximately 4.6%; claims with no valid diagnosis-procedure relationship found (NO_MATCH) denied at approximately 78%. That gradient is the evidence the validation logic works.</w:t>
      </w:r>
    </w:p>
    <w:p>
      <w:pPr>
        <w:pStyle w:val="Heading1"/>
        <w:spacing w:after="120" w:before="260"/>
      </w:pPr>
      <w:r>
        <w:t xml:space="preserve">Tech Stack</w:t>
      </w:r>
    </w:p>
    <w:p>
      <w:pPr>
        <w:pStyle w:val="Heading2"/>
        <w:spacing w:after="90" w:before="180"/>
      </w:pPr>
      <w:r>
        <w:t xml:space="preserve">Database Layer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7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RDBMS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MySQL (MySQL Workbench)</w:t>
            </w:r>
          </w:p>
        </w:tc>
        <w:tc>
          <w:tcPr>
            <w:tcW w:type="dxa" w:w="47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Relational structure fits the diagnosis, procedure, and claim relationships naturally; enforces referential integrity with foreign keys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Schema design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 normalized tables: diagnoses, procedures, code_pairings_reference, claims, claim_flags, denial_feedback</w:t>
            </w:r>
          </w:p>
        </w:tc>
        <w:tc>
          <w:tcPr>
            <w:tcW w:type="dxa" w:w="47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Separates reference data (codes, rules) from transactional data (claims) from audit and output data (flags, feedback)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KEY, FOREIGN KEY, CHECK constraints</w:t>
            </w:r>
          </w:p>
        </w:tc>
        <w:tc>
          <w:tcPr>
            <w:tcW w:type="dxa" w:w="47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Enforces valid code_type, claim_status, and confidence_tier values at the database level, not just in application code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SQL Views (4 views layered on base tables)</w:t>
            </w:r>
          </w:p>
        </w:tc>
        <w:tc>
          <w:tcPr>
            <w:tcW w:type="dxa" w:w="47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Keeps validation logic reusable and queryable directly, rather than recomputing it in every downstream tool</w:t>
            </w:r>
          </w:p>
        </w:tc>
      </w:tr>
    </w:tbl>
    <w:p>
      <w:pPr>
        <w:spacing w:after="200"/>
      </w:pPr>
    </w:p>
    <w:p>
      <w:pPr>
        <w:pStyle w:val="Heading2"/>
        <w:spacing w:after="90" w:before="180"/>
      </w:pPr>
      <w:r>
        <w:t xml:space="preserve">SQL Techniques Used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Multi-table joins (INNER JOIN, LEFT JOIN) linking claims to diagnoses, procedures, and reference rules in a single query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COALESCE() to default unmatched pairings to NO_MATCH instead of NULL, so nothing falls through silently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INSERT ... SELECT to populate claim_flags and denial_feedback directly from view output, avoiding manual data duplication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Conditional aggregation, SUM(condition) and CASE WHEN inside GROUP BY queries, to compute denial rates per tier and per payer without a separate scripting step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ROUND(), GROUP BY, and HAVING for the summary and drill-down views</w:t>
      </w:r>
    </w:p>
    <w:p>
      <w:pPr>
        <w:pStyle w:val="Heading2"/>
        <w:spacing w:after="90" w:before="180"/>
      </w:pPr>
      <w:r>
        <w:t xml:space="preserve">Data Sources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 Set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License Status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ICD-10-CM (diagnoses)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CDC / NCHS</w:t>
            </w:r>
          </w:p>
        </w:tc>
        <w:tc>
          <w:tcPr>
            <w:tcW w:type="dxa" w:w="43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 domain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HCPCS Level II (procedures)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CMS</w:t>
            </w:r>
          </w:p>
        </w:tc>
        <w:tc>
          <w:tcPr>
            <w:tcW w:type="dxa" w:w="43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 domain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CPT (procedures)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</w:t>
            </w:r>
          </w:p>
        </w:tc>
        <w:tc>
          <w:tcPr>
            <w:tcW w:type="dxa" w:w="4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Copyrighted; used as numeric codes plus generic labels only, not official descriptor text</w:t>
            </w:r>
          </w:p>
        </w:tc>
      </w:tr>
    </w:tbl>
    <w:p>
      <w:pPr>
        <w:spacing w:after="200"/>
      </w:pPr>
    </w:p>
    <w:p>
      <w:pPr>
        <w:pStyle w:val="Heading2"/>
        <w:spacing w:after="90" w:before="180"/>
      </w:pPr>
      <w:r>
        <w:t xml:space="preserve">Analytics / BI Layer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tcW w:type="dxa" w:w="69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with KPI cards driven by live formulas (COUNTIF, SUMIF) referencing raw claims data, not hardcoded numbers, so it recalculates if data changes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 Charts (Bar)</w:t>
            </w:r>
          </w:p>
        </w:tc>
        <w:tc>
          <w:tcPr>
            <w:tcW w:type="dxa" w:w="69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Denial rate by confidence tier; denial rate by payer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CSV exports</w:t>
            </w:r>
          </w:p>
        </w:tc>
        <w:tc>
          <w:tcPr>
            <w:tcW w:type="dxa" w:w="6900"/>
            <w:shd w:fill="D9E2F3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table and view exported flat, structured for direct import into Power BI if a more interactive front end is needed later</w:t>
            </w:r>
          </w:p>
        </w:tc>
      </w:tr>
    </w:tbl>
    <w:p>
      <w:pPr>
        <w:spacing w:after="200"/>
      </w:pPr>
    </w:p>
    <w:p>
      <w:pPr>
        <w:pStyle w:val="Heading2"/>
        <w:spacing w:after="90" w:before="180"/>
      </w:pPr>
      <w:r>
        <w:t xml:space="preserve">Supporting Tools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MySQL Workbench: schema design, script execution, data browsing and import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Python (build phase only, not part of the runtime stack): generated 200 synthetic claim records with realistic mismatch and denial probability logic before loading into MySQL</w:t>
      </w:r>
    </w:p>
    <w:p>
      <w:pPr>
        <w:pStyle w:val="Heading2"/>
        <w:spacing w:after="90" w:before="180"/>
      </w:pPr>
      <w:r>
        <w:t xml:space="preserve">Portability and Versioning Notes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Schema written in standard SQL with MySQL-specific syntax called out (AUTO_INCREMENT, CHECK constraint support from MySQL 8.0.16 onward); portable to PostgreSQL or SQLite with minor edits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code_version_year field on diagnoses and procedures tables acknowledges that ICD-10, CPT, and HCPCS all receive annual updates, so reference data is not treated as permanent</w:t>
      </w:r>
    </w:p>
    <w:p>
      <w:pPr>
        <w:pStyle w:val="Heading1"/>
        <w:spacing w:after="120" w:before="260"/>
      </w:pPr>
      <w:r>
        <w:t xml:space="preserve">Resume / Portfolio Summary Line</w:t>
      </w:r>
    </w:p>
    <w:p>
      <w:pPr>
        <w:spacing w:after="200"/>
      </w:pPr>
      <w:r>
        <w:rPr>
          <w:rFonts w:ascii="Calibri" w:cs="Calibri" w:eastAsia="Calibri" w:hAnsi="Calibri"/>
          <w:color w:val="1F3864"/>
          <w:sz w:val="21"/>
          <w:szCs w:val="21"/>
        </w:rPr>
        <w:t xml:space="preserve">Built a MySQL database and SQL-based validation engine to flag high-denial-risk ICD-10/CPT-HCPCS code pairings on medical claims, using multi-table joins, conditional aggregation, and view-based business logic; visualized results in an Excel dashboard showing a 4.6% to 78% denial-rate spread across confidence tiers.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2026-08-11T07:37:23.531Z</dcterms:created>
  <dcterms:modified xsi:type="dcterms:W3CDTF">2026-08-11T07:37:23.546Z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