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ICD-10 to CPT/HCPCS Crosswalk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Project Summary and Tech Stack</w:t>
      </w:r>
    </w:p>
    <w:p>
      <w:pPr>
        <w:pStyle w:val="Heading1"/>
        <w:spacing w:after="120" w:before="260"/>
      </w:pPr>
      <w:r>
        <w:t xml:space="preserve">Project Overview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 minimal SQL project that grades diagnosis-procedure pairing confidence and lets that single factor determine the claim's decision — no second variable involved.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Core result: each confidence tier maps to exactly one decision. HIGH is always APPROVED, MEDIUM is always HUMAN_REVIEW, LOW or unmatched is always DENIED.</w:t>
      </w:r>
    </w:p>
    <w:p>
      <w:pPr>
        <w:pStyle w:val="Heading1"/>
        <w:spacing w:after="120" w:before="260"/>
      </w:pPr>
      <w:r>
        <w:t xml:space="preserve">Tech Stack</w:t>
      </w:r>
    </w:p>
    <w:p>
      <w:pPr>
        <w:pStyle w:val="Heading2"/>
        <w:spacing w:after="90" w:before="180"/>
      </w:pPr>
      <w:r>
        <w:t xml:space="preserve">Database Layer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RDBMS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MySQL, run as a single script (schema, data, and view all in one file)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Tables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4: diagnoses, procedures, crosswalk (composite primary key on icd10_code + proc_code), claims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Views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 v_claims, doing the entire join + decision computation in a single CASE statement</w:t>
            </w:r>
          </w:p>
        </w:tc>
      </w:tr>
    </w:tbl>
    <w:p>
      <w:pPr>
        <w:spacing w:after="200"/>
      </w:pPr>
    </w:p>
    <w:p>
      <w:pPr>
        <w:pStyle w:val="Heading2"/>
        <w:spacing w:after="90" w:before="180"/>
      </w:pPr>
      <w:r>
        <w:t xml:space="preserve">SQL Techniques Used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LEFT JOIN from claims to crosswalk, so an unrecognized pairing doesn't disappear from results — it surfaces as NULL, then COALESCE() converts that to an explicit 'NO_MATCH' label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 single CASE statement mapping each confidence tier directly to one decision — no compound conditions, no secondary factor to check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Composite primary key (icd10_code, proc_code) on the crosswalk table, enforcing that each diagnosis-procedure pair can only be graded once</w:t>
      </w:r>
    </w:p>
    <w:p>
      <w:pPr>
        <w:pStyle w:val="Heading2"/>
        <w:spacing w:after="90" w:before="180"/>
      </w:pPr>
      <w:r>
        <w:t xml:space="preserve">Design Choice: Simplicity Over Extensibility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An earlier version of this project layered a second, independent factor (prior authorization status) on top of crosswalk confidence, so a HIGH-confidence pairing could still be denied for a missing authorization. This version removes that layer entirely — confidence alone determines the outcome. That's a deliberate simplification: it sacrifices the ability to distinguish a paperwork problem from a pairing problem, in exchange for a decision rule that's a single CASE statement and immediately explainable to anyone reading it.</w:t>
      </w:r>
    </w:p>
    <w:p>
      <w:pPr>
        <w:pStyle w:val="Heading2"/>
        <w:spacing w:after="90" w:before="180"/>
      </w:pPr>
      <w:r>
        <w:t xml:space="preserve">Data Sources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ICD-10-CM and HCPCS Level II codes are public domain (CDC/NCHS and CMS respectively). CPT codes are shown as numeric codes with generic labels only, since CPT descriptions are AMA copyrighted.</w:t>
      </w:r>
    </w:p>
    <w:p>
      <w:pPr>
        <w:pStyle w:val="Heading2"/>
        <w:spacing w:after="90" w:before="180"/>
      </w:pPr>
      <w:r>
        <w:t xml:space="preserve">Analytics/BI Layer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9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</w:t>
            </w:r>
          </w:p>
        </w:tc>
        <w:tc>
          <w:tcPr>
            <w:tcW w:type="dxa" w:w="6900"/>
            <w:shd w:fill="D9E2F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Three tabs: ReadMe (project overview), Dataset (all 150 claims), Dashboard (KPI cards and a stacked bar chart, all live formulas against the Dataset tab)</w:t>
            </w:r>
          </w:p>
        </w:tc>
      </w:tr>
    </w:tbl>
    <w:p>
      <w:pPr>
        <w:spacing w:after="200"/>
      </w:pPr>
    </w:p>
    <w:p>
      <w:pPr>
        <w:pStyle w:val="Heading2"/>
        <w:spacing w:after="90" w:before="180"/>
      </w:pPr>
      <w:r>
        <w:t xml:space="preserve">Supporting Tools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Python, used only in the build phase to generate the 150 synthetic claims with a realistic mix of matched and unmatched pairings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SQLite, used only in the validation phase to independently confirm the MySQL view's output before delivery</w:t>
      </w:r>
    </w:p>
    <w:p>
      <w:pPr>
        <w:pStyle w:val="Heading1"/>
        <w:spacing w:after="120" w:before="260"/>
      </w:pPr>
      <w:r>
        <w:t xml:space="preserve">Resume / Portfolio Summary Line</w:t>
      </w:r>
    </w:p>
    <w:p>
      <w:pPr>
        <w:spacing w:after="200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Built a lightweight MySQL crosswalk validation system that grades ICD-10/CPT-HCPCS pairing confidence and maps each tier directly to a claim decision, using a single view and CASE statement to produce three fully explainable outcomes across 150 sample claims.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2026-08-18T11:12:14.575Z</dcterms:created>
  <dcterms:modified xsi:type="dcterms:W3CDTF">2026-08-18T11:12:14.575Z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