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ShannonRes in Context</w:t>
      </w:r>
    </w:p>
    <w:p>
      <w:pPr>
        <w:spacing w:after="60"/>
      </w:pPr>
      <w:r>
        <w:rPr>
          <w:color w:val="444444"/>
          <w:sz w:val="26"/>
          <w:szCs w:val="26"/>
        </w:rPr>
        <w:t xml:space="preserve">AI Image Restoration for Semiconductor SEM Metrology &amp; Inspection</w:t>
      </w:r>
    </w:p>
    <w:p>
      <w:pPr>
        <w:spacing w:after="400"/>
      </w:pPr>
      <w:r>
        <w:rPr>
          <w:i/>
          <w:iCs/>
          <w:color w:val="666666"/>
          <w:sz w:val="22"/>
          <w:szCs w:val="22"/>
        </w:rPr>
        <w:t xml:space="preserve">Industry Context, Deployment Path, Cost Analysis &amp; Judge Q&amp;A Preparation — KLA AI Hackathon 2026</w:t>
      </w:r>
    </w:p>
    <w:p>
      <w:pPr>
        <w:pStyle w:val="Heading1"/>
        <w:spacing w:after="150" w:before="300"/>
      </w:pPr>
      <w:r>
        <w:t xml:space="preserve">1. Executive Summary</w:t>
      </w:r>
    </w:p>
    <w:p>
      <w:pPr>
        <w:spacing w:after="120"/>
      </w:pPr>
      <w:r>
        <w:t xml:space="preserve">This document places ShannonRes — an AI model that restores noisy, downsampled SEM (Scanning Electron Microscopy) images back to full resolution and clarity — in the context of how semiconductor fabs actually use SEM imaging today, why the noise/resolution problem is a real and expensive one, and how a solution like this would realistically integrate into a fab's metrology and inspection workflow.</w:t>
      </w:r>
    </w:p>
    <w:p>
      <w:pPr>
        <w:spacing w:after="120"/>
      </w:pPr>
      <w:r>
        <w:t xml:space="preserve">The short version: SEM-based metrology and inspection is a multi-billion dollar, fast-growing segment of semiconductor capital equipment, and the core tradeoff our project addresses — image quality versus imaging speed — is a well-documented, actively researched industry problem, not a hypothetical one. Published research from semiconductor metrology teams has already validated our chosen architecture family (NAFNet) for exactly this use case, achieving large acquisition speed-ups while preserving measurement-relevant image quality.</w:t>
      </w:r>
    </w:p>
    <w:p>
      <w:pPr>
        <w:pStyle w:val="Heading1"/>
        <w:spacing w:after="150" w:before="300"/>
      </w:pPr>
      <w:r>
        <w:t xml:space="preserve">2. Why SEM Imaging Matters in Semiconductor Manufacturing</w:t>
      </w:r>
    </w:p>
    <w:p>
      <w:pPr>
        <w:spacing w:after="120"/>
      </w:pPr>
      <w:r>
        <w:t xml:space="preserve">Scanning Electron Microscopy is the workhorse imaging technology for two critical fab functions:</w:t>
      </w:r>
    </w:p>
    <w:p>
      <w:pPr>
        <w:pStyle w:val="ListParagraph"/>
        <w:numPr>
          <w:ilvl w:val="0"/>
          <w:numId w:val="1"/>
        </w:numPr>
        <w:spacing w:after="60"/>
      </w:pPr>
      <w:r>
        <w:t xml:space="preserve">Critical Dimension (CD) metrology — measuring feature widths, trench depths, and pattern geometry at sub-nanometer precision, used to verify that lithography and etch steps stayed within spec.</w:t>
      </w:r>
    </w:p>
    <w:p>
      <w:pPr>
        <w:pStyle w:val="ListParagraph"/>
        <w:numPr>
          <w:ilvl w:val="0"/>
          <w:numId w:val="1"/>
        </w:numPr>
        <w:spacing w:after="60"/>
      </w:pPr>
      <w:r>
        <w:t xml:space="preserve">Defect inspection and review — finding and classifying yield-killing defects on patterned wafers, reticles, and packaging.</w:t>
      </w:r>
    </w:p>
    <w:p>
      <w:pPr>
        <w:spacing w:after="120"/>
      </w:pPr>
      <w:r>
        <w:t xml:space="preserve">As process nodes shrink below 5nm and transistor counts exceed 100 billion per chip, the tolerance for dimensional variation shrinks with them. A single out-of-spec wafer lot can represent tens of millions of dollars in scrapped product, which is why fabs run extensive, continuous SEM-based measurement throughout production rather than sampling occasionally.</w:t>
      </w:r>
    </w:p>
    <w:p>
      <w:pPr>
        <w:spacing w:after="120"/>
      </w:pPr>
      <w:r>
        <w:t xml:space="preserve">This is reflected in the market: semiconductor metrology and inspection is currently sized in the $9-16 billion range depending on methodology and scope, and every major forecast projects continued growth through the early 2030s, driven by EUV lithography complexity and sub-5nm defect sensitivity.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c>
          <w:tcPr>
            <w:tcW w:type="dxa" w:w="3200"/>
            <w:shd w:fill="D9E2F3" w:val="clear"/>
          </w:tcPr>
          <w:p>
            <w:r>
              <w:rPr>
                <w:b/>
                <w:bCs/>
              </w:rPr>
              <w:t xml:space="preserve">Source</w:t>
            </w:r>
          </w:p>
        </w:tc>
        <w:tc>
          <w:tcPr>
            <w:tcW w:type="dxa" w:w="2900"/>
            <w:shd w:fill="D9E2F3" w:val="clear"/>
          </w:tcPr>
          <w:p>
            <w:r>
              <w:rPr>
                <w:b/>
                <w:bCs/>
              </w:rPr>
              <w:t xml:space="preserve">2026 market size</w:t>
            </w:r>
          </w:p>
        </w:tc>
        <w:tc>
          <w:tcPr>
            <w:tcW w:type="dxa" w:w="2900"/>
            <w:shd w:fill="D9E2F3" w:val="clear"/>
          </w:tcPr>
          <w:p>
            <w:r>
              <w:rPr>
                <w:b/>
                <w:bCs/>
              </w:rPr>
              <w:t xml:space="preserve">Forecast / CAGR</w:t>
            </w:r>
          </w:p>
        </w:tc>
      </w:tr>
      <w:tr>
        <w:tc>
          <w:tcPr>
            <w:tcW w:type="dxa" w:w="3200"/>
          </w:tcPr>
          <w:p>
            <w:r>
              <w:rPr>
                <w:b w:val="false"/>
                <w:bCs w:val="false"/>
              </w:rPr>
              <w:t xml:space="preserve">Global Market Insights</w:t>
            </w:r>
          </w:p>
        </w:tc>
        <w:tc>
          <w:tcPr>
            <w:tcW w:type="dxa" w:w="2900"/>
          </w:tcPr>
          <w:p>
            <w:r>
              <w:rPr>
                <w:b w:val="false"/>
                <w:bCs w:val="false"/>
              </w:rPr>
              <w:t xml:space="preserve">~$10.9B</w:t>
            </w:r>
          </w:p>
        </w:tc>
        <w:tc>
          <w:tcPr>
            <w:tcW w:type="dxa" w:w="2900"/>
          </w:tcPr>
          <w:p>
            <w:r>
              <w:rPr>
                <w:b w:val="false"/>
                <w:bCs w:val="false"/>
              </w:rPr>
              <w:t xml:space="preserve">$20.2B by 2035 (7.1% CAGR)</w:t>
            </w:r>
          </w:p>
        </w:tc>
      </w:tr>
      <w:tr>
        <w:tc>
          <w:tcPr>
            <w:tcW w:type="dxa" w:w="3200"/>
          </w:tcPr>
          <w:p>
            <w:r>
              <w:rPr>
                <w:b w:val="false"/>
                <w:bCs w:val="false"/>
              </w:rPr>
              <w:t xml:space="preserve">Grand View Research</w:t>
            </w:r>
          </w:p>
        </w:tc>
        <w:tc>
          <w:tcPr>
            <w:tcW w:type="dxa" w:w="2900"/>
          </w:tcPr>
          <w:p>
            <w:r>
              <w:rPr>
                <w:b w:val="false"/>
                <w:bCs w:val="false"/>
              </w:rPr>
              <w:t xml:space="preserve">~$10.1B</w:t>
            </w:r>
          </w:p>
        </w:tc>
        <w:tc>
          <w:tcPr>
            <w:tcW w:type="dxa" w:w="2900"/>
          </w:tcPr>
          <w:p>
            <w:r>
              <w:rPr>
                <w:b w:val="false"/>
                <w:bCs w:val="false"/>
              </w:rPr>
              <w:t xml:space="preserve">$16.2B by 2033 (6.9% CAGR)</w:t>
            </w:r>
          </w:p>
        </w:tc>
      </w:tr>
      <w:tr>
        <w:tc>
          <w:tcPr>
            <w:tcW w:type="dxa" w:w="3200"/>
          </w:tcPr>
          <w:p>
            <w:r>
              <w:rPr>
                <w:b w:val="false"/>
                <w:bCs w:val="false"/>
              </w:rPr>
              <w:t xml:space="preserve">Fortune Business Insights</w:t>
            </w:r>
          </w:p>
        </w:tc>
        <w:tc>
          <w:tcPr>
            <w:tcW w:type="dxa" w:w="2900"/>
          </w:tcPr>
          <w:p>
            <w:r>
              <w:rPr>
                <w:b w:val="false"/>
                <w:bCs w:val="false"/>
              </w:rPr>
              <w:t xml:space="preserve">~$16.3B</w:t>
            </w:r>
          </w:p>
        </w:tc>
        <w:tc>
          <w:tcPr>
            <w:tcW w:type="dxa" w:w="2900"/>
          </w:tcPr>
          <w:p>
            <w:r>
              <w:rPr>
                <w:b w:val="false"/>
                <w:bCs w:val="false"/>
              </w:rPr>
              <w:t xml:space="preserve">$29.6B by 2034 (7.8% CAGR)</w:t>
            </w:r>
          </w:p>
        </w:tc>
      </w:tr>
      <w:tr>
        <w:tc>
          <w:tcPr>
            <w:tcW w:type="dxa" w:w="3200"/>
          </w:tcPr>
          <w:p>
            <w:r>
              <w:rPr>
                <w:b w:val="false"/>
                <w:bCs w:val="false"/>
              </w:rPr>
              <w:t xml:space="preserve">Congruence Market Insights</w:t>
            </w:r>
          </w:p>
        </w:tc>
        <w:tc>
          <w:tcPr>
            <w:tcW w:type="dxa" w:w="2900"/>
          </w:tcPr>
          <w:p>
            <w:r>
              <w:rPr>
                <w:b w:val="false"/>
                <w:bCs w:val="false"/>
              </w:rPr>
              <w:t xml:space="preserve">~$11.0-12B</w:t>
            </w:r>
          </w:p>
        </w:tc>
        <w:tc>
          <w:tcPr>
            <w:tcW w:type="dxa" w:w="2900"/>
          </w:tcPr>
          <w:p>
            <w:r>
              <w:rPr>
                <w:b w:val="false"/>
                <w:bCs w:val="false"/>
              </w:rPr>
              <w:t xml:space="preserve">$25.2B by 2033 (10.9% CAGR)</w:t>
            </w:r>
          </w:p>
        </w:tc>
      </w:tr>
    </w:tbl>
    <w:p>
      <w:pPr>
        <w:spacing w:after="100"/>
      </w:pPr>
    </w:p>
    <w:p>
      <w:pPr>
        <w:spacing w:after="120"/>
      </w:pPr>
      <w:r>
        <w:rPr>
          <w:i/>
          <w:iCs/>
          <w:color w:val="666666"/>
          <w:sz w:val="18"/>
          <w:szCs w:val="18"/>
        </w:rPr>
        <w:t xml:space="preserve">Note: market sizing estimates vary meaningfully by research firm depending on scope (equipment only vs. equipment plus software/services), which is normal for this kind of forecast — the consistent signal across all sources is high-single-digit to low-double-digit percentage annual growth.</w:t>
      </w:r>
    </w:p>
    <w:p>
      <w:pPr>
        <w:pStyle w:val="Heading1"/>
        <w:spacing w:after="150" w:before="300"/>
      </w:pPr>
      <w:r>
        <w:t xml:space="preserve">3. The Core Problem: Noise vs. Throughput Tradeoff</w:t>
      </w:r>
    </w:p>
    <w:p>
      <w:pPr>
        <w:spacing w:after="120"/>
      </w:pPr>
      <w:r>
        <w:t xml:space="preserve">SEM images are inherently noisy — the imaging process forms images from relatively few detected electrons per pixel, especially at fast scan speeds. The standard industry technique to reduce this noise is frame averaging: capturing multiple scans of the same field of view and averaging them together.</w:t>
      </w:r>
    </w:p>
    <w:p>
      <w:pPr>
        <w:spacing w:after="120"/>
      </w:pPr>
      <w:r>
        <w:t xml:space="preserve">This works, but at a real cost, well documented in the metrology literature:</w:t>
      </w:r>
    </w:p>
    <w:p>
      <w:pPr>
        <w:pStyle w:val="ListParagraph"/>
        <w:numPr>
          <w:ilvl w:val="0"/>
          <w:numId w:val="1"/>
        </w:numPr>
        <w:spacing w:after="60"/>
      </w:pPr>
      <w:r>
        <w:t xml:space="preserve">Reduced throughput — more frames means more time per measurement, directly cutting how many wafers or sites a tool can measure per hour.</w:t>
      </w:r>
    </w:p>
    <w:p>
      <w:pPr>
        <w:pStyle w:val="ListParagraph"/>
        <w:numPr>
          <w:ilvl w:val="0"/>
          <w:numId w:val="1"/>
        </w:numPr>
        <w:spacing w:after="60"/>
      </w:pPr>
      <w:r>
        <w:t xml:space="preserve">Surface charging — repeated electron exposure builds up charge on the sample, distorting the image.</w:t>
      </w:r>
    </w:p>
    <w:p>
      <w:pPr>
        <w:pStyle w:val="ListParagraph"/>
        <w:numPr>
          <w:ilvl w:val="0"/>
          <w:numId w:val="1"/>
        </w:numPr>
        <w:spacing w:after="60"/>
      </w:pPr>
      <w:r>
        <w:t xml:space="preserve">Pattern shrinkage and sample damage — extended electron dose can physically alter delicate structures, especially thin resists and soft or biological-adjacent materials, undermining the very measurement being taken.</w:t>
      </w:r>
    </w:p>
    <w:p>
      <w:pPr>
        <w:spacing w:after="120"/>
      </w:pPr>
      <w:r>
        <w:t xml:space="preserve">This tradeoff is sharpest exactly where it matters most: CD-SEM tools already have low throughput compared to optical inspection (roughly 10-30 measurements per hour versus hundreds per hour for optical systems), so every additional frame required for noise reduction has an outsized effect on total fab measurement capacity.</w:t>
      </w:r>
    </w:p>
    <w:p>
      <w:pPr>
        <w:pStyle w:val="Heading1"/>
        <w:spacing w:after="150" w:before="300"/>
      </w:pPr>
      <w:r>
        <w:t xml:space="preserve">4. This Is a Live, Validated Research Direction — Not a Hypothetical</w:t>
      </w:r>
    </w:p>
    <w:p>
      <w:pPr>
        <w:spacing w:after="120"/>
      </w:pPr>
      <w:r>
        <w:t xml:space="preserve">AI-based SEM image restoration is already an active research area within semiconductor metrology specifically, which is a meaningful validation point for this project's direction:</w:t>
      </w:r>
    </w:p>
    <w:p>
      <w:pPr>
        <w:pStyle w:val="ListParagraph"/>
        <w:numPr>
          <w:ilvl w:val="0"/>
          <w:numId w:val="1"/>
        </w:numPr>
        <w:spacing w:after="60"/>
      </w:pPr>
      <w:r>
        <w:t xml:space="preserve">A 2025 study on deep learning denoising for FE-SEM, CD-SEM, and Review-SEM imaging under charging conditions directly compared several architectures — including NAFNet, Restormer, HINet, and CGNet — on real semiconductor SEM data. NAFNet achieved the best overall balance of image fidelity and inference latency, reaching quality comparable to 16-frame-averaged images while requiring only 2 input frames, for roughly a 66x acquisition speed-up over a 32-frame reference baseline.</w:t>
      </w:r>
    </w:p>
    <w:p>
      <w:pPr>
        <w:pStyle w:val="ListParagraph"/>
        <w:numPr>
          <w:ilvl w:val="0"/>
          <w:numId w:val="1"/>
        </w:numPr>
        <w:spacing w:after="60"/>
      </w:pPr>
      <w:r>
        <w:t xml:space="preserve">A separate framework (referred to in the literature as ADCD) demonstrated roughly an 8x increase in defect-inspection imaging throughput by deliberately reducing captured pixel resolution and reconstructing it with AI — the same restoration task structure as this project.</w:t>
      </w:r>
    </w:p>
    <w:p>
      <w:pPr>
        <w:pStyle w:val="ListParagraph"/>
        <w:numPr>
          <w:ilvl w:val="0"/>
          <w:numId w:val="1"/>
        </w:numPr>
        <w:spacing w:after="60"/>
      </w:pPr>
      <w:r>
        <w:t xml:space="preserve">An SPIE 2025 paper describes an AI-powered super-resolution and denoising solution built specifically to improve throughput in metrology and inspection (MI) workflows, reinforcing that this is a recognized, named problem area in the field, not a one-off idea.</w:t>
      </w:r>
    </w:p>
    <w:p>
      <w:pPr>
        <w:spacing w:after="120"/>
      </w:pPr>
      <w:r>
        <w:t xml:space="preserve">This context matters for how the project should be framed to judges: the goal is not to invent a new type of AI model, but to competently apply and validate an architecture family with documented success on this exact task, on a realistic paired dataset, under realistic accuracy and speed constraints.</w:t>
      </w:r>
    </w:p>
    <w:p>
      <w:r>
        <w:br w:type="page"/>
      </w:r>
    </w:p>
    <w:p>
      <w:pPr>
        <w:pStyle w:val="Heading1"/>
        <w:spacing w:after="150" w:before="300"/>
      </w:pPr>
      <w:r>
        <w:t xml:space="preserve">5. Where This Would Sit in a Real Fab Workflow</w:t>
      </w:r>
    </w:p>
    <w:p>
      <w:pPr>
        <w:spacing w:after="120"/>
      </w:pPr>
      <w:r>
        <w:t xml:space="preserve">There are two realistic integration points for a model like this in an existing metrology pipeline, and they carry different requirements:</w:t>
      </w:r>
    </w:p>
    <w:p>
      <w:pPr>
        <w:pStyle w:val="Heading2"/>
        <w:spacing w:after="120" w:before="240"/>
      </w:pPr>
      <w:r>
        <w:t xml:space="preserve">5.1 On-tool, real-time restoration</w:t>
      </w:r>
    </w:p>
    <w:p>
      <w:pPr>
        <w:spacing w:after="120"/>
      </w:pPr>
      <w:r>
        <w:t xml:space="preserve">Embedded directly in the CD-SEM or Review-SEM's image acquisition pipeline, replacing or reducing reliance on frame averaging: the tool captures fewer/faster frames, and the restoration model reconstructs a full-quality image before it's handed to measurement or defect-classification software. This is the highest-value integration point because it directly increases tool throughput, but it demands genuine real-time performance on whatever compute is physically available on or near the tool, and very high reliability, since it sits directly in the measurement path.</w:t>
      </w:r>
    </w:p>
    <w:p>
      <w:pPr>
        <w:pStyle w:val="Heading2"/>
        <w:spacing w:after="120" w:before="240"/>
      </w:pPr>
      <w:r>
        <w:t xml:space="preserve">5.2 Post-processing within existing fab software</w:t>
      </w:r>
    </w:p>
    <w:p>
      <w:pPr>
        <w:spacing w:after="120"/>
      </w:pPr>
      <w:r>
        <w:t xml:space="preserve">Alternatively, restoration could run as a processing step within existing fab-wide inspection/metrology software — comparable to how KLA's own aiSIGHT software already ingests SEM images from various tools to perform AI-assisted defect and pattern measurement, or how Klarity aggregates and analyzes inspection data fab-wide. This integration point is lower-risk (it doesn't have to run inside the tool's real-time control loop) but captures less of the throughput benefit, since it acts after image capture rather than allowing fewer frames to be captured in the first place.</w:t>
      </w:r>
    </w:p>
    <w:p>
      <w:pPr>
        <w:spacing w:after="120"/>
      </w:pPr>
      <w:r>
        <w:t xml:space="preserve">Both paths point to the same conclusion for this project: the earlier debate in this project about real-time latency wasn't misguided even though the hackathon's own benchmark (H100, quality-first) is more forgiving — genuine on-tool deployment, which is where the largest real-world value lives, would demand real-time performance regardless of what the hackathon measures.</w:t>
      </w:r>
    </w:p>
    <w:p>
      <w:pPr>
        <w:pStyle w:val="Heading1"/>
        <w:spacing w:after="150" w:before="300"/>
      </w:pPr>
      <w:r>
        <w:t xml:space="preserve">6. Cost &amp; ROI: Why a Software Layer Matters on Multi-Million-Dollar Hardware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400"/>
        <w:gridCol w:w="2000"/>
      </w:tblGrid>
      <w:tr>
        <w:tc>
          <w:tcPr>
            <w:tcW w:type="dxa" w:w="3600"/>
            <w:shd w:fill="D9E2F3" w:val="clear"/>
          </w:tcPr>
          <w:p>
            <w:r>
              <w:rPr>
                <w:b/>
                <w:bCs/>
              </w:rPr>
              <w:t xml:space="preserve">Tool class</w:t>
            </w:r>
          </w:p>
        </w:tc>
        <w:tc>
          <w:tcPr>
            <w:tcW w:type="dxa" w:w="3400"/>
            <w:shd w:fill="D9E2F3" w:val="clear"/>
          </w:tcPr>
          <w:p>
            <w:r>
              <w:rPr>
                <w:b/>
                <w:bCs/>
              </w:rPr>
              <w:t xml:space="preserve">Typical price</w:t>
            </w:r>
          </w:p>
        </w:tc>
        <w:tc>
          <w:tcPr>
            <w:tcW w:type="dxa" w:w="2000"/>
            <w:shd w:fill="D9E2F3" w:val="clear"/>
          </w:tcPr>
          <w:p>
            <w:r>
              <w:rPr>
                <w:b/>
                <w:bCs/>
              </w:rPr>
              <w:t xml:space="preserve">Throughput</w:t>
            </w:r>
          </w:p>
        </w:tc>
      </w:tr>
      <w:tr>
        <w:tc>
          <w:tcPr>
            <w:tcW w:type="dxa" w:w="3600"/>
          </w:tcPr>
          <w:p>
            <w:r>
              <w:rPr>
                <w:b w:val="false"/>
                <w:bCs w:val="false"/>
              </w:rPr>
              <w:t xml:space="preserve">Entry-level optical CD metrology</w:t>
            </w:r>
          </w:p>
        </w:tc>
        <w:tc>
          <w:tcPr>
            <w:tcW w:type="dxa" w:w="3400"/>
          </w:tcPr>
          <w:p>
            <w:r>
              <w:rPr>
                <w:b w:val="false"/>
                <w:bCs w:val="false"/>
              </w:rPr>
              <w:t xml:space="preserve">~$400K+</w:t>
            </w:r>
          </w:p>
        </w:tc>
        <w:tc>
          <w:tcPr>
            <w:tcW w:type="dxa" w:w="2000"/>
          </w:tcPr>
          <w:p>
            <w:r>
              <w:rPr>
                <w:b w:val="false"/>
                <w:bCs w:val="false"/>
              </w:rPr>
              <w:t xml:space="preserve">Hundreds/hr</w:t>
            </w:r>
          </w:p>
        </w:tc>
      </w:tr>
      <w:tr>
        <w:tc>
          <w:tcPr>
            <w:tcW w:type="dxa" w:w="3600"/>
          </w:tcPr>
          <w:p>
            <w:r>
              <w:rPr>
                <w:b w:val="false"/>
                <w:bCs w:val="false"/>
              </w:rPr>
              <w:t xml:space="preserve">General CD-SEM platform</w:t>
            </w:r>
          </w:p>
        </w:tc>
        <w:tc>
          <w:tcPr>
            <w:tcW w:type="dxa" w:w="3400"/>
          </w:tcPr>
          <w:p>
            <w:r>
              <w:rPr>
                <w:b w:val="false"/>
                <w:bCs w:val="false"/>
              </w:rPr>
              <w:t xml:space="preserve">$500K – $3M</w:t>
            </w:r>
          </w:p>
        </w:tc>
        <w:tc>
          <w:tcPr>
            <w:tcW w:type="dxa" w:w="2000"/>
          </w:tcPr>
          <w:p>
            <w:r>
              <w:rPr>
                <w:b w:val="false"/>
                <w:bCs w:val="false"/>
              </w:rPr>
              <w:t xml:space="preserve">10-30/hr</w:t>
            </w:r>
          </w:p>
        </w:tc>
      </w:tr>
      <w:tr>
        <w:tc>
          <w:tcPr>
            <w:tcW w:type="dxa" w:w="3600"/>
          </w:tcPr>
          <w:p>
            <w:r>
              <w:rPr>
                <w:b w:val="false"/>
                <w:bCs w:val="false"/>
              </w:rPr>
              <w:t xml:space="preserve">Flagship production CD-SEM (Hitachi CG-series, Applied VeritySEM class)</w:t>
            </w:r>
          </w:p>
        </w:tc>
        <w:tc>
          <w:tcPr>
            <w:tcW w:type="dxa" w:w="3400"/>
          </w:tcPr>
          <w:p>
            <w:r>
              <w:rPr>
                <w:b w:val="false"/>
                <w:bCs w:val="false"/>
              </w:rPr>
              <w:t xml:space="preserve">$4M – $8M+</w:t>
            </w:r>
          </w:p>
        </w:tc>
        <w:tc>
          <w:tcPr>
            <w:tcW w:type="dxa" w:w="2000"/>
          </w:tcPr>
          <w:p>
            <w:r>
              <w:rPr>
                <w:b w:val="false"/>
                <w:bCs w:val="false"/>
              </w:rPr>
              <w:t xml:space="preserve">10-30/hr</w:t>
            </w:r>
          </w:p>
        </w:tc>
      </w:tr>
      <w:tr>
        <w:tc>
          <w:tcPr>
            <w:tcW w:type="dxa" w:w="3600"/>
          </w:tcPr>
          <w:p>
            <w:r>
              <w:rPr>
                <w:b w:val="false"/>
                <w:bCs w:val="false"/>
              </w:rPr>
              <w:t xml:space="preserve">Used / refurbished CD-SEM</w:t>
            </w:r>
          </w:p>
        </w:tc>
        <w:tc>
          <w:tcPr>
            <w:tcW w:type="dxa" w:w="3400"/>
          </w:tcPr>
          <w:p>
            <w:r>
              <w:rPr>
                <w:b w:val="false"/>
                <w:bCs w:val="false"/>
              </w:rPr>
              <w:t xml:space="preserve">$800K – $1.2M</w:t>
            </w:r>
          </w:p>
        </w:tc>
        <w:tc>
          <w:tcPr>
            <w:tcW w:type="dxa" w:w="2000"/>
          </w:tcPr>
          <w:p>
            <w:r>
              <w:rPr>
                <w:b w:val="false"/>
                <w:bCs w:val="false"/>
              </w:rPr>
              <w:t xml:space="preserve">10-30/hr</w:t>
            </w:r>
          </w:p>
        </w:tc>
      </w:tr>
    </w:tbl>
    <w:p>
      <w:pPr>
        <w:spacing w:after="100"/>
      </w:pPr>
    </w:p>
    <w:p>
      <w:pPr>
        <w:spacing w:after="120"/>
      </w:pPr>
      <w:r>
        <w:t xml:space="preserve">A leading-edge logic fab can require on the order of 40-60 dedicated CD-SEM tools to support its process control needs, and flagship production CD-SEM platforms carry price tags from roughly $4M to over $8M each — meaning a single fab's CD-SEM fleet alone can represent hundreds of millions of dollars of capital equipment. Total cost of ownership over a tool's operating life is typically 1.8-2.4x the purchase price once installation, calibration, and maintenance are included.</w:t>
      </w:r>
    </w:p>
    <w:p>
      <w:pPr>
        <w:spacing w:after="120"/>
      </w:pPr>
      <w:r>
        <w:t xml:space="preserve">Against that backdrop, the economic case for an AI restoration layer is straightforward: it is a software change to existing capital equipment, not a new purchase. If restoration allows fewer captured frames per measurement while holding accuracy roughly constant, the direct effect is more measurements per hour on the exact same tool fleet — the published 66x acquisition speed-up and 8x throughput figures cited above illustrate the scale of gain that's been demonstrated in this specific research area, even if a production deployment would likely target a more conservative, validated improvement. Because tool costs are so high, even a modest, reliable throughput gain (e.g., 15-30%) applied across dozens of tools is worth far more in avoided capital spend (deferring the purchase of additional CD-SEM units to keep pace with fab volume) than the cost of developing and validating the software itself.</w:t>
      </w:r>
    </w:p>
    <w:p>
      <w:pPr>
        <w:spacing w:after="120"/>
      </w:pPr>
      <w:r>
        <w:t xml:space="preserve">A secondary, less obvious benefit: reducing required electron dose per measurement (via fewer frames) directly reduces sample charging and pattern shrinkage risk, which can reduce yield-damaging measurement side effects — a benefit that doesn't show up as throughput but does show up in yield and reduced re-measurement rates.</w:t>
      </w:r>
    </w:p>
    <w:p>
      <w:pPr>
        <w:pStyle w:val="Heading1"/>
        <w:spacing w:after="150" w:before="300"/>
      </w:pPr>
      <w:r>
        <w:t xml:space="preserve">7. What Would Actually Be Required to Deploy This</w:t>
      </w:r>
    </w:p>
    <w:p>
      <w:pPr>
        <w:spacing w:after="120"/>
      </w:pPr>
      <w:r>
        <w:t xml:space="preserve">It's worth being direct about the gap between a hackathon submission and a fab-deployable tool, since judges are likely to probe this:</w:t>
      </w:r>
    </w:p>
    <w:p>
      <w:pPr>
        <w:pStyle w:val="ListParagraph"/>
        <w:numPr>
          <w:ilvl w:val="0"/>
          <w:numId w:val="1"/>
        </w:numPr>
        <w:spacing w:after="60"/>
      </w:pPr>
      <w:r>
        <w:t xml:space="preserve">Substantially broader validation — across multiple SEM tool vendors and models, not just the challenge's 10 sample categories, since noise characteristics and imaging physics differ by instrument.</w:t>
      </w:r>
    </w:p>
    <w:p>
      <w:pPr>
        <w:pStyle w:val="ListParagraph"/>
        <w:numPr>
          <w:ilvl w:val="0"/>
          <w:numId w:val="1"/>
        </w:numPr>
        <w:spacing w:after="60"/>
      </w:pPr>
      <w:r>
        <w:t xml:space="preserve">Formal correlation studies against the existing (frame-averaging) measurement method — fabs require new metrology methods to be statistically correlated against the qualified legacy method before replacing it, precisely because of the pattern-shrinkage/measurement-bias risk noted above. A restoration model must be shown not to systematically bias CD measurements in either direction.</w:t>
      </w:r>
    </w:p>
    <w:p>
      <w:pPr>
        <w:pStyle w:val="ListParagraph"/>
        <w:numPr>
          <w:ilvl w:val="0"/>
          <w:numId w:val="1"/>
        </w:numPr>
        <w:spacing w:after="60"/>
      </w:pPr>
      <w:r>
        <w:t xml:space="preserve">Integration engineering — either an on-tool SDK/plugin path (tool-vendor dependent and typically requires vendor cooperation) or an API-level integration into existing fab software like aiSIGHT or Klarity-class platforms.</w:t>
      </w:r>
    </w:p>
    <w:p>
      <w:pPr>
        <w:pStyle w:val="ListParagraph"/>
        <w:numPr>
          <w:ilvl w:val="0"/>
          <w:numId w:val="1"/>
        </w:numPr>
        <w:spacing w:after="60"/>
      </w:pPr>
      <w:r>
        <w:t xml:space="preserve">A concrete compute decision — on-tool edge inference hardware (constrained, real-time) versus a centralized fab compute server (more flexible, but adds network/latency and infrastructure cost).</w:t>
      </w:r>
    </w:p>
    <w:p>
      <w:pPr>
        <w:pStyle w:val="ListParagraph"/>
        <w:numPr>
          <w:ilvl w:val="0"/>
          <w:numId w:val="1"/>
        </w:numPr>
        <w:spacing w:after="60"/>
      </w:pPr>
      <w:r>
        <w:t xml:space="preserve">Change-control and qualification processes standard in fab environments, since any change to a measurement pipeline that affects yield decisions goes through formal validation before production use.</w:t>
      </w:r>
    </w:p>
    <w:p>
      <w:pPr>
        <w:spacing w:after="120"/>
      </w:pPr>
      <w:r>
        <w:t xml:space="preserve">None of this invalidates the hackathon project — it's normal for a promising prototype to need this path to production. Being able to name it clearly is itself a strong signal to judges that the team understands the deployment reality, not just the modeling problem.</w:t>
      </w:r>
    </w:p>
    <w:p>
      <w:r>
        <w:br w:type="page"/>
      </w:r>
    </w:p>
    <w:p>
      <w:pPr>
        <w:pStyle w:val="Heading1"/>
        <w:spacing w:after="150" w:before="300"/>
      </w:pPr>
      <w:r>
        <w:t xml:space="preserve">8. Judge Q&amp;A Preparation</w:t>
      </w:r>
    </w:p>
    <w:p>
      <w:pPr>
        <w:pStyle w:val="Heading2"/>
        <w:spacing w:after="120" w:before="240"/>
      </w:pPr>
      <w:r>
        <w:t xml:space="preserve">On the problem and its importance</w:t>
      </w:r>
    </w:p>
    <w:p>
      <w:pPr>
        <w:spacing w:after="60" w:before="160"/>
      </w:pPr>
      <w:r>
        <w:rPr>
          <w:b/>
          <w:bCs/>
        </w:rPr>
        <w:t xml:space="preserve">Q: Why does this problem matter to KLA / the semiconductor industry specifically?</w:t>
      </w:r>
    </w:p>
    <w:p>
      <w:pPr>
        <w:spacing w:after="100"/>
      </w:pPr>
      <w:r>
        <w:t xml:space="preserve">A: SEM-based metrology and inspection is a multi-billion dollar, fast-growing part of semiconductor capital equipment, and the standard noise-reduction technique (frame averaging) directly trades off against tool throughput and can damage samples via charging and pattern shrinkage. Any restoration approach that reduces required frames without sacrificing measurement accuracy increases usable capacity on tools that already cost several million dollars each, without requiring new capital purchases.</w:t>
      </w:r>
    </w:p>
    <w:p>
      <w:pPr>
        <w:spacing w:after="60" w:before="160"/>
      </w:pPr>
      <w:r>
        <w:rPr>
          <w:b/>
          <w:bCs/>
        </w:rPr>
        <w:t xml:space="preserve">Q: Is this a real problem people are actively working on, or something you invented for the hackathon?</w:t>
      </w:r>
    </w:p>
    <w:p>
      <w:pPr>
        <w:spacing w:after="100"/>
      </w:pPr>
      <w:r>
        <w:t xml:space="preserve">A: It's an active, named research area. Published work from semiconductor metrology researchers has directly tested architectures including NAFNet on real SEM denoising tasks and reported large acquisition speed-ups, and KLA's own software portfolio (aiSIGHT) already applies AI/ML to SEM-derived defect and pattern data, showing this direction is already part of the industry's trajectory.</w:t>
      </w:r>
    </w:p>
    <w:p>
      <w:pPr>
        <w:pStyle w:val="Heading2"/>
        <w:spacing w:after="120" w:before="240"/>
      </w:pPr>
      <w:r>
        <w:t xml:space="preserve">On the technical approach</w:t>
      </w:r>
    </w:p>
    <w:p>
      <w:pPr>
        <w:spacing w:after="60" w:before="160"/>
      </w:pPr>
      <w:r>
        <w:rPr>
          <w:b/>
          <w:bCs/>
        </w:rPr>
        <w:t xml:space="preserve">Q: Why did you choose NAFNet over other architectures?</w:t>
      </w:r>
    </w:p>
    <w:p>
      <w:pPr>
        <w:spacing w:after="100"/>
      </w:pPr>
      <w:r>
        <w:t xml:space="preserve">A: We started with a ResNet-style CNN baseline, diagnosed via loss-curve and error-map analysis that it had hit an architectural capacity ceiling — specifically losing fine texture in flat, detail-heavy regions. NAFNet's encoder-decoder (U-Net) structure with skip connections is designed to preserve exactly that kind of fine spatial detail while remaining efficient, and it's independently validated in published SEM-denoising research as the strongest balance of fidelity and latency among tested architectures for this task.</w:t>
      </w:r>
    </w:p>
    <w:p>
      <w:pPr>
        <w:spacing w:after="60" w:before="160"/>
      </w:pPr>
      <w:r>
        <w:rPr>
          <w:b/>
          <w:bCs/>
        </w:rPr>
        <w:t xml:space="preserve">Q: How do you know your model isn't just memorizing your training distribution?</w:t>
      </w:r>
    </w:p>
    <w:p>
      <w:pPr>
        <w:spacing w:after="100"/>
      </w:pPr>
      <w:r>
        <w:t xml:space="preserve">A: This is a real, open gap in our current work — our validation so far has been on a held-out split from the same training distribution. The challenge's official test set explicitly includes out-of-distribution samples from different sources, and we are actively building out augmentation and, if needed, synthetic degradation strategies to improve generalization before that test set is evaluated, consistent with the organizers' own guidance.</w:t>
      </w:r>
    </w:p>
    <w:p>
      <w:pPr>
        <w:spacing w:after="60" w:before="160"/>
      </w:pPr>
      <w:r>
        <w:rPr>
          <w:b/>
          <w:bCs/>
        </w:rPr>
        <w:t xml:space="preserve">Q: What's your model's biggest current weakness?</w:t>
      </w:r>
    </w:p>
    <w:p>
      <w:pPr>
        <w:spacing w:after="100"/>
      </w:pPr>
      <w:r>
        <w:t xml:space="preserve">A: Under-capacity or imbalanced configurations lose fine texture in flat, low-contrast regions — confirmed both visually and via frequency-domain error analysis. We're actively iterating on architecture balance (encoder/decoder depth) to address this, and treating it as the primary lever for further quality gains rather than simply scaling parameters.</w:t>
      </w:r>
    </w:p>
    <w:p>
      <w:pPr>
        <w:spacing w:after="60" w:before="160"/>
      </w:pPr>
      <w:r>
        <w:rPr>
          <w:b/>
          <w:bCs/>
        </w:rPr>
        <w:t xml:space="preserve">Q: How did you validate your model isn't introducing measurement bias (e.g., systematically shrinking or growing features)?</w:t>
      </w:r>
    </w:p>
    <w:p>
      <w:pPr>
        <w:spacing w:after="100"/>
      </w:pPr>
      <w:r>
        <w:t xml:space="preserve">A: We haven't yet run this specific validation, and we flag it as a necessary next step before any real deployment claim — production metrology tools require new methods to be statistically correlated against the qualified legacy method precisely because of this risk (pattern shrinkage from over-aggressive denoising is a documented failure mode in this literature). Our current evaluation focuses on PSNR/SSIM/LPIPS against ground truth, which doesn't by itself rule out a systematic bias, only average pixel-level and perceptual accuracy.</w:t>
      </w:r>
    </w:p>
    <w:p>
      <w:pPr>
        <w:pStyle w:val="Heading2"/>
        <w:spacing w:after="120" w:before="240"/>
      </w:pPr>
      <w:r>
        <w:t xml:space="preserve">On performance, cost, and deployment</w:t>
      </w:r>
    </w:p>
    <w:p>
      <w:pPr>
        <w:spacing w:after="60" w:before="160"/>
      </w:pPr>
      <w:r>
        <w:rPr>
          <w:b/>
          <w:bCs/>
        </w:rPr>
        <w:t xml:space="preserve">Q: Why does inference speed matter if quality is the primary scoring criterion?</w:t>
      </w:r>
    </w:p>
    <w:p>
      <w:pPr>
        <w:spacing w:after="100"/>
      </w:pPr>
      <w:r>
        <w:t xml:space="preserve">A: Two reasons. First, speed is an explicit tiebreaker in this challenge's own scoring when quality is comparable across submissions. Second, and more importantly for real-world relevance: genuine on-tool deployment — restoring images inside the SEM's live acquisition pipeline to let it capture fewer frames — is where the largest throughput and cost benefit actually lives, and that use case has real hard-real-time constraints regardless of how this specific hackathon measures inference time.</w:t>
      </w:r>
    </w:p>
    <w:p>
      <w:pPr>
        <w:spacing w:after="60" w:before="160"/>
      </w:pPr>
      <w:r>
        <w:rPr>
          <w:b/>
          <w:bCs/>
        </w:rPr>
        <w:t xml:space="preserve">Q: What would this actually save a fab, in dollars?</w:t>
      </w:r>
    </w:p>
    <w:p>
      <w:pPr>
        <w:spacing w:after="100"/>
      </w:pPr>
      <w:r>
        <w:t xml:space="preserve">A: We don't have fab-specific cost data to quote a precise number, and we want to be honest about that. Directionally: flagship CD-SEM tools cost roughly $4-8 million each, a leading-edge fab can run 40-60 of them, and even a conservative double-digit-percentage throughput improvement — well below the 60-plus-times acquisition speed-ups reported in some published research on this exact task — applied across that tool fleet represents substantial avoided capital spend, since it defers buying additional tools to keep pace with fab volume, rather than requiring a new purchase.</w:t>
      </w:r>
    </w:p>
    <w:p>
      <w:pPr>
        <w:spacing w:after="60" w:before="160"/>
      </w:pPr>
      <w:r>
        <w:rPr>
          <w:b/>
          <w:bCs/>
        </w:rPr>
        <w:t xml:space="preserve">Q: Why not just buy faster or more SEM tools instead of doing this in software?</w:t>
      </w:r>
    </w:p>
    <w:p>
      <w:pPr>
        <w:spacing w:after="100"/>
      </w:pPr>
      <w:r>
        <w:t xml:space="preserve">A: Because CD-SEM tools are extremely expensive capital equipment with multi-year lead times and $4-8M+ price tags each; a software layer that increases effective throughput on already-installed tools is a far faster and cheaper way to add capacity than purchasing and qualifying additional physical tools, and it doesn't require new cleanroom space or tool-vendor lead times.</w:t>
      </w:r>
    </w:p>
    <w:p>
      <w:pPr>
        <w:spacing w:after="60" w:before="160"/>
      </w:pPr>
      <w:r>
        <w:rPr>
          <w:b/>
          <w:bCs/>
        </w:rPr>
        <w:t xml:space="preserve">Q: How would this actually get integrated into a real fab's workflow?</w:t>
      </w:r>
    </w:p>
    <w:p>
      <w:pPr>
        <w:spacing w:after="100"/>
      </w:pPr>
      <w:r>
        <w:t xml:space="preserve">A: Two realistic paths: embedded directly in a tool's image-acquisition pipeline for real-time restoration (highest value, highest integration bar — likely requires tool-vendor cooperation), or as a post-processing step within existing fab-wide inspection/metrology software, similar in spirit to how KLA's own aiSIGHT or Klarity software already ingests and processes SEM-derived data fab-wide. The second path is a much more realistic near-term entry point.</w:t>
      </w:r>
    </w:p>
    <w:p>
      <w:pPr>
        <w:spacing w:after="60" w:before="160"/>
      </w:pPr>
      <w:r>
        <w:rPr>
          <w:b/>
          <w:bCs/>
        </w:rPr>
        <w:t xml:space="preserve">Q: What's missing before this could actually be deployed in production?</w:t>
      </w:r>
    </w:p>
    <w:p>
      <w:pPr>
        <w:spacing w:after="100"/>
      </w:pPr>
      <w:r>
        <w:t xml:space="preserve">A: Broader validation across multiple tool vendors and SEM models (not just our current sample categories), formal correlation studies against the existing frame-averaging measurement method to rule out systematic measurement bias, a concrete compute decision (on-tool edge hardware versus centralized fab server), and integration engineering into existing tool or software APIs. We see this project as a validated prototype of the core restoration capability, not a production-ready tool, and we think that distinction is important to be upfront about.</w:t>
      </w:r>
    </w:p>
    <w:p>
      <w:pPr>
        <w:pStyle w:val="Heading2"/>
        <w:spacing w:after="120" w:before="240"/>
      </w:pPr>
      <w:r>
        <w:t xml:space="preserve">On the competitive landscape</w:t>
      </w:r>
    </w:p>
    <w:p>
      <w:pPr>
        <w:spacing w:after="60" w:before="160"/>
      </w:pPr>
      <w:r>
        <w:rPr>
          <w:b/>
          <w:bCs/>
        </w:rPr>
        <w:t xml:space="preserve">Q: How is this different from what KLA already does with aiSIGHT or Klarity?</w:t>
      </w:r>
    </w:p>
    <w:p>
      <w:pPr>
        <w:spacing w:after="100"/>
      </w:pPr>
      <w:r>
        <w:t xml:space="preserve">A: Those are existing KLA software products that apply AI/ML to already-captured SEM images for defect detection and pattern measurement. Our project sits one step earlier in the pipeline — restoring image quality itself from a fast, low-dose, lower-resolution capture — which could function as a complementary preprocessing stage feeding into systems like those, rather than a competing product.</w:t>
      </w:r>
    </w:p>
    <w:p>
      <w:pPr>
        <w:spacing w:after="60" w:before="160"/>
      </w:pPr>
      <w:r>
        <w:rPr>
          <w:b/>
          <w:bCs/>
        </w:rPr>
        <w:t xml:space="preserve">Q: What stops a large vendor from just building this themselves?</w:t>
      </w:r>
    </w:p>
    <w:p>
      <w:pPr>
        <w:spacing w:after="100"/>
      </w:pPr>
      <w:r>
        <w:t xml:space="preserve">A: Nothing — and published research suggests some of this work is already happening inside the industry. Our contribution isn't a novel algorithmic breakthrough; it's a working, benchmarked implementation with an honest account of its current accuracy/speed tradeoffs and a clear-eyed view of what production deployment would actually require, which is exactly the kind of grounded engineering work a hackathon can meaningfully demonstrate.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ShannonRes — Industry Context &amp; Judge Q&amp;A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2026-09-02T10:15:14.238Z</dcterms:created>
  <dcterms:modified xsi:type="dcterms:W3CDTF">2026-09-02T10:15:14.254Z</dcterms:modified>
</cp:coreProperties>
</file>

<file path=docProps/custom.xml><?xml version="1.0" encoding="utf-8"?>
<Properties xmlns="http://schemas.openxmlformats.org/officeDocument/2006/custom-properties" xmlns:vt="http://schemas.openxmlformats.org/officeDocument/2006/docPropsVTypes"/>
</file>