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A365D"/>
          <w:sz w:val="52"/>
        </w:rPr>
        <w:t>STUDENT EXAM RESULT MANAGEMENT</w:t>
        <w:br/>
        <w:t>REST API</w:t>
      </w:r>
    </w:p>
    <w:p>
      <w:pPr>
        <w:spacing w:before="240" w:after="240"/>
        <w:jc w:val="center"/>
      </w:pPr>
      <w:r>
        <w:rPr>
          <w:b/>
          <w:color w:val="2B6CB0"/>
        </w:rPr>
        <w:t>____________________________________________________</w:t>
      </w:r>
    </w:p>
    <w:p>
      <w:pPr>
        <w:jc w:val="center"/>
      </w:pPr>
      <w:r>
        <w:rPr>
          <w:rFonts w:ascii="Arial" w:hAnsi="Arial"/>
          <w:color w:val="4A5568"/>
          <w:sz w:val="26"/>
        </w:rPr>
        <w:t>Detailed Technical Reference &amp; System Architecture Manual</w:t>
        <w:br/>
        <w:t>Java 17 / Spring Boot 3 / Hibernate / PostgreSQL / Docker</w:t>
      </w:r>
    </w:p>
    <w:p/>
    <w:p/>
    <w:p/>
    <w:p/>
    <w:p/>
    <w:p/>
    <w:p>
      <w:pPr>
        <w:jc w:val="center"/>
      </w:pPr>
      <w:r>
        <w:rPr>
          <w:rFonts w:ascii="Arial" w:hAnsi="Arial"/>
          <w:color w:val="2D3748"/>
          <w:sz w:val="21"/>
        </w:rPr>
        <w:t>Document Version: 1.0.0</w:t>
        <w:br/>
        <w:t>Engineering Department: Backend Systems &amp; Architecture</w:t>
        <w:br/>
        <w:t>Review Committee: Technical Lead Evaluation Board</w:t>
        <w:br/>
        <w:t>Date of Release: June 3, 2026</w:t>
        <w:br/>
        <w:t>Security Classification: Internal Engineering Reference</w:t>
        <w:br/>
      </w:r>
    </w:p>
    <w:p>
      <w:r>
        <w:br w:type="page"/>
      </w:r>
    </w:p>
    <w:p>
      <w:pPr>
        <w:keepNext/>
        <w:spacing w:before="360" w:after="120"/>
      </w:pPr>
      <w:r>
        <w:rPr>
          <w:rFonts w:ascii="Arial" w:hAnsi="Arial"/>
          <w:b/>
          <w:color w:val="1A365D"/>
          <w:sz w:val="36"/>
        </w:rPr>
        <w:t>1. Detailed Architecture</w:t>
      </w:r>
    </w:p>
    <w:p>
      <w:r>
        <w:t>The application architecture uses a layered 3-tier pattern to enforce separation of concerns, ensuring that database concerns, business logic rules, and routing concerns remain decoupled.</w:t>
      </w:r>
    </w:p>
    <w:p>
      <w:pPr>
        <w:keepNext/>
        <w:spacing w:before="240" w:after="80"/>
      </w:pPr>
      <w:r>
        <w:rPr>
          <w:rFonts w:ascii="Arial" w:hAnsi="Arial"/>
          <w:b/>
          <w:color w:val="2B6CB0"/>
          <w:sz w:val="28"/>
        </w:rPr>
        <w:t>Tier 1: Request Routing &amp; Validation (Controller Layer)</w:t>
      </w:r>
    </w:p>
    <w:p>
      <w:r>
        <w:t>REST Controllers act as HTTP entry points, handling input data validation and returning formatted responses. Controllers map routing endpoints, parse inbound JSON payloads into DTO structures, and trigger Spring bean validation checks. Using the @Valid annotation, bad payloads are rejected immediately, preventing incomplete requests from reaching the service layer.</w:t>
      </w:r>
    </w:p>
    <w:p>
      <w:pPr>
        <w:keepNext/>
        <w:spacing w:before="240" w:after="80"/>
      </w:pPr>
      <w:r>
        <w:rPr>
          <w:rFonts w:ascii="Arial" w:hAnsi="Arial"/>
          <w:b/>
          <w:color w:val="2B6CB0"/>
          <w:sz w:val="28"/>
        </w:rPr>
        <w:t>Tier 2: Business Logic &amp; Orchestration (Service Layer)</w:t>
      </w:r>
    </w:p>
    <w:p>
      <w:r>
        <w:t>Services manage transaction boundaries (@Transactional) and coordinate core calculations, grade checks, and database reads/writes. This layer handles: mapping request DTOs to JPA entities, validating that candidate scores match the exam rules, and calculating percentage scores and grades.</w:t>
      </w:r>
    </w:p>
    <w:p>
      <w:pPr>
        <w:keepNext/>
        <w:spacing w:before="240" w:after="80"/>
      </w:pPr>
      <w:r>
        <w:rPr>
          <w:rFonts w:ascii="Arial" w:hAnsi="Arial"/>
          <w:b/>
          <w:color w:val="2B6CB0"/>
          <w:sz w:val="28"/>
        </w:rPr>
        <w:t>Tier 3: Database Access (Repository Layer)</w:t>
      </w:r>
    </w:p>
    <w:p>
      <w:r>
        <w:t>The repository layer isolates all database operations. It extends JpaRepository to automatically generate SQL queries and handle entity updates, database indices, and foreign keys.</w:t>
      </w:r>
    </w:p>
    <w:p>
      <w:pPr>
        <w:keepNext/>
        <w:spacing w:before="360" w:after="120"/>
      </w:pPr>
      <w:r>
        <w:rPr>
          <w:rFonts w:ascii="Arial" w:hAnsi="Arial"/>
          <w:b/>
          <w:color w:val="1A365D"/>
          <w:sz w:val="36"/>
        </w:rPr>
        <w:t>2. Package Structure</w:t>
      </w:r>
    </w:p>
    <w:p>
      <w:r>
        <w:t>The project follows a clean, domain-based package layout within the com.internship.student_exam_api root package. The structure organizes all backend components logically:</w:t>
      </w:r>
    </w:p>
    <w:p>
      <w:pPr>
        <w:spacing w:before="120" w:after="120"/>
        <w:ind w:left="720" w:right="720"/>
        <w:shd w:fill="F5F5F5"/>
        <w:pBdr>
          <w:left w:val="single" w:sz="18" w:space="8" w:color="D3D3D3"/>
        </w:pBdr>
      </w:pPr>
      <w:r>
        <w:rPr>
          <w:rFonts w:ascii="Courier New" w:hAnsi="Courier New"/>
          <w:color w:val="333333"/>
          <w:sz w:val="19"/>
        </w:rPr>
        <w:t>com.internship.student_exam_api/</w:t>
        <w:br/>
        <w:t>├── StudentExamApiApplication.java (Main Entry Point)</w:t>
        <w:br/>
        <w:t>├── config/                        (System configurations, Swagger OpenAPI)</w:t>
        <w:br/>
        <w:t>├── controller/                    (REST Controllers: Student, Subject, Exam, Result)</w:t>
        <w:br/>
        <w:t>├── dto/                           (Data Transfer Objects)</w:t>
        <w:br/>
        <w:t>│   ├── request/                   (Input DTO models: StudentRequest, etc.)</w:t>
        <w:br/>
        <w:t>│   └── response/                  (Output DTO models: StudentResponse, etc.)</w:t>
        <w:br/>
        <w:t>├── entity/                        (JPA Database Entities: Student, Subject, Exam, Result)</w:t>
        <w:br/>
        <w:t>├── enums/                         (Domain Constants: Grade, ResultStatus)</w:t>
        <w:br/>
        <w:t>├── exception/                     (Global Exception handlers &amp; Custom exception classes)</w:t>
        <w:br/>
        <w:t>├── repository/                    (Spring Data JPA Data Access interfaces)</w:t>
        <w:br/>
        <w:t>└── service/                       (Business Logic services &amp; calculation modules)</w:t>
        <w:br/>
      </w:r>
    </w:p>
    <w:p>
      <w:pPr>
        <w:keepNext/>
        <w:spacing w:before="360" w:after="120"/>
      </w:pPr>
      <w:r>
        <w:rPr>
          <w:rFonts w:ascii="Arial" w:hAnsi="Arial"/>
          <w:b/>
          <w:color w:val="1A365D"/>
          <w:sz w:val="36"/>
        </w:rPr>
        <w:t>3. Entity Relationships</w:t>
      </w:r>
    </w:p>
    <w:p>
      <w:r>
        <w:t>The database design uses relational constraints to ensure data consistency and prevent orphan records. The entities map directly to database tables, using unique indices and foreign key relations:</w:t>
      </w:r>
    </w:p>
    <w:p>
      <w:pPr>
        <w:pStyle w:val="ListBullet"/>
        <w:spacing w:after="60"/>
      </w:pPr>
      <w:r>
        <w:rPr>
          <w:b/>
        </w:rPr>
        <w:t xml:space="preserve">Student Entity: </w:t>
      </w:r>
      <w:r>
        <w:t>No direct relationship mapping on the Java class level to prevent lazy loading exceptions and complex queries. It is referenced inside the Result entity via a Many-to-One FK mapping.</w:t>
      </w:r>
    </w:p>
    <w:p>
      <w:pPr>
        <w:pStyle w:val="ListBullet"/>
        <w:spacing w:after="60"/>
      </w:pPr>
      <w:r>
        <w:rPr>
          <w:b/>
        </w:rPr>
        <w:t xml:space="preserve">Subject Entity: </w:t>
      </w:r>
      <w:r>
        <w:t>Mapped in a One-to-Many relationship with Exam, which is configured as LAZY loading to ensure efficient queries.</w:t>
      </w:r>
    </w:p>
    <w:p>
      <w:pPr>
        <w:pStyle w:val="ListBullet"/>
        <w:spacing w:after="60"/>
      </w:pPr>
      <w:r>
        <w:rPr>
          <w:b/>
        </w:rPr>
        <w:t xml:space="preserve">Exam Entity: </w:t>
      </w:r>
      <w:r>
        <w:t>References Subject in a Many-to-One relationship, indicating that an exam must always belong to a valid subject record.</w:t>
      </w:r>
    </w:p>
    <w:p>
      <w:pPr>
        <w:pStyle w:val="ListBullet"/>
        <w:spacing w:after="60"/>
      </w:pPr>
      <w:r>
        <w:rPr>
          <w:b/>
        </w:rPr>
        <w:t xml:space="preserve">Result Entity: </w:t>
      </w:r>
      <w:r>
        <w:t>References Student and Exam via Many-to-One relationships. It includes a database-level composite unique constraint on (student_id, exam_id) to prevent duplicate records, mapping to the RESULTS database table.</w:t>
      </w:r>
    </w:p>
    <w:p>
      <w:pPr>
        <w:keepNext/>
        <w:spacing w:before="360" w:after="120"/>
      </w:pPr>
      <w:r>
        <w:rPr>
          <w:rFonts w:ascii="Arial" w:hAnsi="Arial"/>
          <w:b/>
          <w:color w:val="1A365D"/>
          <w:sz w:val="36"/>
        </w:rPr>
        <w:t>4. DTO Design &amp; Mapping</w:t>
      </w:r>
    </w:p>
    <w:p>
      <w:r>
        <w:t>Data Transfer Objects are used to decouple the public API contract from internal database schemas. This separation improves security and isolates API models from database changes.</w:t>
      </w:r>
    </w:p>
    <w:p>
      <w:pPr>
        <w:keepNext/>
        <w:spacing w:before="240" w:after="80"/>
      </w:pPr>
      <w:r>
        <w:rPr>
          <w:rFonts w:ascii="Arial" w:hAnsi="Arial"/>
          <w:b/>
          <w:color w:val="2B6CB0"/>
          <w:sz w:val="28"/>
        </w:rPr>
        <w:t>Request DTOs</w:t>
      </w:r>
    </w:p>
    <w:p>
      <w:r>
        <w:t>Request DTOs (e.g. StudentRequest, ResultRequest) model client input payloads and apply Bean Validation checks. They isolate input parsing, allowing fields to be transformed or ignored if they do not match the database model.</w:t>
      </w:r>
    </w:p>
    <w:p>
      <w:pPr>
        <w:keepNext/>
        <w:spacing w:before="240" w:after="80"/>
      </w:pPr>
      <w:r>
        <w:rPr>
          <w:rFonts w:ascii="Arial" w:hAnsi="Arial"/>
          <w:b/>
          <w:color w:val="2B6CB0"/>
          <w:sz w:val="28"/>
        </w:rPr>
        <w:t>Response DTOs</w:t>
      </w:r>
    </w:p>
    <w:p>
      <w:r>
        <w:t>Response DTOs (e.g. ResultResponse, ExamResponse) shape the JSON returned to the client. Nested resources use corresponding response DTOs rather than raw entities, preventing Jackson serialization issues and avoiding LazyInitializationException errors after transaction boundaries close.</w:t>
      </w:r>
    </w:p>
    <w:p>
      <w:pPr>
        <w:keepNext/>
        <w:spacing w:before="240" w:after="80"/>
      </w:pPr>
      <w:r>
        <w:rPr>
          <w:rFonts w:ascii="Arial" w:hAnsi="Arial"/>
          <w:b/>
          <w:color w:val="2B6CB0"/>
          <w:sz w:val="28"/>
        </w:rPr>
        <w:t>Mapping Layer</w:t>
      </w:r>
    </w:p>
    <w:p>
      <w:r>
        <w:t>Mapping between DTOs and JPA Entities is handled manually in the services using a package-private builder pattern. This approach avoids heavy mapping libraries, keeping memory usage low and mapping logic easy to debug.</w:t>
      </w:r>
    </w:p>
    <w:p>
      <w:pPr>
        <w:keepNext/>
        <w:spacing w:before="360" w:after="120"/>
      </w:pPr>
      <w:r>
        <w:rPr>
          <w:rFonts w:ascii="Arial" w:hAnsi="Arial"/>
          <w:b/>
          <w:color w:val="1A365D"/>
          <w:sz w:val="36"/>
        </w:rPr>
        <w:t>5. Service Layer Design</w:t>
      </w:r>
    </w:p>
    <w:p>
      <w:r>
        <w:t>The service layer contains core algorithms, business validations, and transactional boundaries. Key design implementations include:</w:t>
      </w:r>
    </w:p>
    <w:p>
      <w:pPr>
        <w:pStyle w:val="ListBullet"/>
        <w:spacing w:after="60"/>
      </w:pPr>
      <w:r>
        <w:rPr>
          <w:b/>
        </w:rPr>
        <w:t xml:space="preserve">Transactional Scopes (@Transactional): </w:t>
      </w:r>
      <w:r>
        <w:t>Write operations (create, update, delete) are wrapped inside transactional blocks. If any validation fails or a database exception is thrown, the entire operation is rolled back to prevent inconsistent states. Read operations are marked as readOnly = true to optimize performance.</w:t>
      </w:r>
    </w:p>
    <w:p>
      <w:pPr>
        <w:pStyle w:val="ListBullet"/>
        <w:spacing w:after="60"/>
      </w:pPr>
      <w:r>
        <w:rPr>
          <w:b/>
        </w:rPr>
        <w:t xml:space="preserve">Business Validation Rules: </w:t>
      </w:r>
      <w:r>
        <w:t>Services validate input before persisting records. For example, ResultService check logic verifies that the student's score does not exceed the subject's maximum allowed marks, throwing a BusinessRuleException if it does.</w:t>
      </w:r>
    </w:p>
    <w:p>
      <w:pPr>
        <w:pStyle w:val="ListBullet"/>
        <w:spacing w:after="60"/>
      </w:pPr>
      <w:r>
        <w:rPr>
          <w:b/>
        </w:rPr>
        <w:t xml:space="preserve">Real-time Computations: </w:t>
      </w:r>
      <w:r>
        <w:t>Computes score percentages, letter grades (A+, A, B, C, Fail), and PASS/FAIL status during result creation or update.</w:t>
      </w:r>
    </w:p>
    <w:p>
      <w:pPr>
        <w:keepNext/>
        <w:spacing w:before="360" w:after="120"/>
      </w:pPr>
      <w:r>
        <w:rPr>
          <w:rFonts w:ascii="Arial" w:hAnsi="Arial"/>
          <w:b/>
          <w:color w:val="1A365D"/>
          <w:sz w:val="36"/>
        </w:rPr>
        <w:t>6. Repository Layer</w:t>
      </w:r>
    </w:p>
    <w:p>
      <w:r>
        <w:t>Repositories extend JpaRepository to handle database queries. The interfaces define default database methods along with custom queries:</w:t>
      </w:r>
    </w:p>
    <w:p>
      <w:pPr>
        <w:pStyle w:val="ListBullet"/>
        <w:spacing w:after="60"/>
      </w:pPr>
      <w:r>
        <w:rPr>
          <w:b/>
        </w:rPr>
        <w:t xml:space="preserve">StudentRepository: </w:t>
      </w:r>
      <w:r>
        <w:t>Declares existsByEmailAndIdNot and existsByRollNumberAndIdNot queries to check for duplicates when updating a student, avoiding false duplicate flags on the student's own record.</w:t>
      </w:r>
    </w:p>
    <w:p>
      <w:pPr>
        <w:pStyle w:val="ListBullet"/>
        <w:spacing w:after="60"/>
      </w:pPr>
      <w:r>
        <w:rPr>
          <w:b/>
        </w:rPr>
        <w:t xml:space="preserve">ResultRepository: </w:t>
      </w:r>
      <w:r>
        <w:t>Declares findByStudentId to return all exam grades for a specific student, and existsByStudentIdAndExamId to check for duplicate entries before saving a result.</w:t>
      </w:r>
    </w:p>
    <w:p>
      <w:pPr>
        <w:keepNext/>
        <w:spacing w:before="360" w:after="120"/>
      </w:pPr>
      <w:r>
        <w:rPr>
          <w:rFonts w:ascii="Arial" w:hAnsi="Arial"/>
          <w:b/>
          <w:color w:val="1A365D"/>
          <w:sz w:val="36"/>
        </w:rPr>
        <w:t>7. Flyway Database Migrations</w:t>
      </w:r>
    </w:p>
    <w:p>
      <w:r>
        <w:t>Database changes are version-controlled using Flyway. The migration script V1__initial_schema.sql defines the tables and relational constraints:</w:t>
      </w:r>
    </w:p>
    <w:p>
      <w:pPr>
        <w:spacing w:before="120" w:after="120"/>
        <w:ind w:left="720" w:right="720"/>
        <w:shd w:fill="F5F5F5"/>
        <w:pBdr>
          <w:left w:val="single" w:sz="18" w:space="8" w:color="D3D3D3"/>
        </w:pBdr>
      </w:pPr>
      <w:r>
        <w:rPr>
          <w:rFonts w:ascii="Courier New" w:hAnsi="Courier New"/>
          <w:color w:val="333333"/>
          <w:sz w:val="19"/>
        </w:rPr>
        <w:t>-- Flyway V1 Initialization Script Snippet</w:t>
        <w:br/>
        <w:t>CREATE TABLE students (</w:t>
        <w:br/>
        <w:t xml:space="preserve">    id BIGSERIAL PRIMARY KEY,</w:t>
        <w:br/>
        <w:t xml:space="preserve">    name VARCHAR(100) NOT NULL,</w:t>
        <w:br/>
        <w:t xml:space="preserve">    email VARCHAR(150) NOT NULL UNIQUE,</w:t>
        <w:br/>
        <w:t xml:space="preserve">    roll_number VARCHAR(20) NOT NULL UNIQUE,</w:t>
        <w:br/>
        <w:t xml:space="preserve">    created_at TIMESTAMP NOT NULL,</w:t>
        <w:br/>
        <w:t xml:space="preserve">    updated_at TIMESTAMP NOT NULL</w:t>
        <w:br/>
        <w:t>);</w:t>
        <w:br/>
        <w:br/>
        <w:t>CREATE TABLE results (</w:t>
        <w:br/>
        <w:t xml:space="preserve">    id BIGSERIAL PRIMARY KEY,</w:t>
        <w:br/>
        <w:t xml:space="preserve">    student_id BIGINT NOT NULL REFERENCES students(id) ON DELETE CASCADE,</w:t>
        <w:br/>
        <w:t xml:space="preserve">    exam_id BIGINT NOT NULL REFERENCES exams(id) ON DELETE CASCADE,</w:t>
        <w:br/>
        <w:t xml:space="preserve">    marks DOUBLE PRECISION NOT NULL,</w:t>
        <w:br/>
        <w:t xml:space="preserve">    percentage DOUBLE PRECISION NOT NULL,</w:t>
        <w:br/>
        <w:t xml:space="preserve">    grade VARCHAR(10) NOT NULL,</w:t>
        <w:br/>
        <w:t xml:space="preserve">    status VARCHAR(10) NOT NULL,</w:t>
        <w:br/>
        <w:t xml:space="preserve">    created_at TIMESTAMP NOT NULL,</w:t>
        <w:br/>
        <w:t xml:space="preserve">    updated_at TIMESTAMP NOT NULL,</w:t>
        <w:br/>
        <w:t xml:space="preserve">    CONSTRAINT uq_student_exam UNIQUE (student_id, exam_id)</w:t>
        <w:br/>
        <w:t>);</w:t>
        <w:br/>
      </w:r>
    </w:p>
    <w:p>
      <w:pPr>
        <w:keepNext/>
        <w:spacing w:before="360" w:after="120"/>
      </w:pPr>
      <w:r>
        <w:rPr>
          <w:rFonts w:ascii="Arial" w:hAnsi="Arial"/>
          <w:b/>
          <w:color w:val="1A365D"/>
          <w:sz w:val="36"/>
        </w:rPr>
        <w:t>8. Docker Configuration</w:t>
      </w:r>
    </w:p>
    <w:p>
      <w:r>
        <w:t>The system uses a multi-stage Dockerfile to build and package the application, reducing final image sizes and keeping development environments reproducible.</w:t>
      </w:r>
    </w:p>
    <w:p>
      <w:pPr>
        <w:keepNext/>
        <w:spacing w:before="240" w:after="80"/>
      </w:pPr>
      <w:r>
        <w:rPr>
          <w:rFonts w:ascii="Arial" w:hAnsi="Arial"/>
          <w:b/>
          <w:color w:val="2B6CB0"/>
          <w:sz w:val="28"/>
        </w:rPr>
        <w:t>Dockerfile Blueprint</w:t>
      </w:r>
    </w:p>
    <w:p>
      <w:pPr>
        <w:spacing w:before="120" w:after="120"/>
        <w:ind w:left="720" w:right="720"/>
        <w:shd w:fill="F5F5F5"/>
        <w:pBdr>
          <w:left w:val="single" w:sz="18" w:space="8" w:color="D3D3D3"/>
        </w:pBdr>
      </w:pPr>
      <w:r>
        <w:rPr>
          <w:rFonts w:ascii="Courier New" w:hAnsi="Courier New"/>
          <w:color w:val="333333"/>
          <w:sz w:val="19"/>
        </w:rPr>
        <w:t># Stage 1: Build the artifact using Maven</w:t>
        <w:br/>
        <w:t>FROM maven:3.9.6-eclipse-temurin-17 AS builder</w:t>
        <w:br/>
        <w:t>WORKDIR /app</w:t>
        <w:br/>
        <w:t>COPY pom.xml .</w:t>
        <w:br/>
        <w:t>RUN mvn dependency:go-offline -q</w:t>
        <w:br/>
        <w:t>COPY src ./src</w:t>
        <w:br/>
        <w:t>RUN mvn clean package -DskipTests -q</w:t>
        <w:br/>
        <w:br/>
        <w:t># Stage 2: Create JRE Alpine runtime environment</w:t>
        <w:br/>
        <w:t>FROM eclipse-temurin:17-jre-alpine</w:t>
        <w:br/>
        <w:t>WORKDIR /app</w:t>
        <w:br/>
        <w:t>RUN addgroup -S appgroup &amp;&amp; adduser -S appuser -G appgroup</w:t>
        <w:br/>
        <w:t>COPY --from=builder /app/target/*.jar app.jar</w:t>
        <w:br/>
        <w:t>USER appuser</w:t>
        <w:br/>
        <w:t>EXPOSE 8080</w:t>
        <w:br/>
        <w:t>ENTRYPOINT ["java", "-Djava.security.egd=file:/dev/./urandom", "-jar", "app.jar"]</w:t>
        <w:br/>
      </w:r>
    </w:p>
    <w:p>
      <w:pPr>
        <w:keepNext/>
        <w:spacing w:before="360" w:after="120"/>
      </w:pPr>
      <w:r>
        <w:rPr>
          <w:rFonts w:ascii="Arial" w:hAnsi="Arial"/>
          <w:b/>
          <w:color w:val="1A365D"/>
          <w:sz w:val="36"/>
        </w:rPr>
        <w:t>9. Testing Strategy</w:t>
      </w:r>
    </w:p>
    <w:p>
      <w:r>
        <w:t>The application uses a multi-tiered testing strategy to ensure reliability and maintain high test coverage.</w:t>
      </w:r>
    </w:p>
    <w:p>
      <w:pPr>
        <w:keepNext/>
        <w:spacing w:before="240" w:after="80"/>
      </w:pPr>
      <w:r>
        <w:rPr>
          <w:rFonts w:ascii="Arial" w:hAnsi="Arial"/>
          <w:b/>
          <w:color w:val="2B6CB0"/>
          <w:sz w:val="28"/>
        </w:rPr>
        <w:t>Service Layer Mockito Unit Tests</w:t>
      </w:r>
    </w:p>
    <w:p>
      <w:r>
        <w:t>Uses Mockito extensions to test grading logic, score calculations, and edge cases in isolation, mocking repository and database dependencies.</w:t>
      </w:r>
    </w:p>
    <w:p>
      <w:pPr>
        <w:keepNext/>
        <w:spacing w:before="240" w:after="80"/>
      </w:pPr>
      <w:r>
        <w:rPr>
          <w:rFonts w:ascii="Arial" w:hAnsi="Arial"/>
          <w:b/>
          <w:color w:val="2B6CB0"/>
          <w:sz w:val="28"/>
        </w:rPr>
        <w:t>Controller WebMvc MockMvc Tests</w:t>
      </w:r>
    </w:p>
    <w:p>
      <w:r>
        <w:t>MockMvc configurations mock service interfaces to test endpoint mapping, request parsing, and error code responses (e.g. 422 Unprocessable Entity) without starting the full web server.</w:t>
      </w:r>
    </w:p>
    <w:p>
      <w:pPr>
        <w:keepNext/>
        <w:spacing w:before="240" w:after="80"/>
      </w:pPr>
      <w:r>
        <w:rPr>
          <w:rFonts w:ascii="Arial" w:hAnsi="Arial"/>
          <w:b/>
          <w:color w:val="2B6CB0"/>
          <w:sz w:val="28"/>
        </w:rPr>
        <w:t>Repository DataJpaTest Mappings</w:t>
      </w:r>
    </w:p>
    <w:p>
      <w:r>
        <w:t>Runs tests against an in-memory H2 database test profile to verify database constraints, indexes, and custom queries.</w:t>
      </w:r>
    </w:p>
    <w:p>
      <w:pPr>
        <w:keepNext/>
        <w:spacing w:before="360" w:after="120"/>
      </w:pPr>
      <w:r>
        <w:rPr>
          <w:rFonts w:ascii="Arial" w:hAnsi="Arial"/>
          <w:b/>
          <w:color w:val="1A365D"/>
          <w:sz w:val="36"/>
        </w:rPr>
        <w:t>10. Regression Automation Design</w:t>
      </w:r>
    </w:p>
    <w:p>
      <w:r>
        <w:t>An automated regression script (located at tests/test_student_exam_api.py) runs integration tests against the active REST endpoints. Written in Python, it validates core scenarios:</w:t>
      </w:r>
    </w:p>
    <w:p>
      <w:pPr>
        <w:pStyle w:val="ListBullet"/>
        <w:spacing w:after="60"/>
      </w:pPr>
      <w:r>
        <w:rPr>
          <w:b/>
        </w:rPr>
        <w:t xml:space="preserve">Setup Actions: </w:t>
      </w:r>
      <w:r>
        <w:t>Checks API availability, registers student profiles, and initializes subjects and exams.</w:t>
      </w:r>
    </w:p>
    <w:p>
      <w:pPr>
        <w:pStyle w:val="ListBullet"/>
        <w:spacing w:after="60"/>
      </w:pPr>
      <w:r>
        <w:rPr>
          <w:b/>
        </w:rPr>
        <w:t xml:space="preserve">Boundary Assertions: </w:t>
      </w:r>
      <w:r>
        <w:t>Submits scores across different grading ranges, verifying that percentages and letter grades (A+, A, B, C, Fail) match expected rules.</w:t>
      </w:r>
    </w:p>
    <w:p>
      <w:pPr>
        <w:pStyle w:val="ListBullet"/>
        <w:spacing w:after="60"/>
      </w:pPr>
      <w:r>
        <w:rPr>
          <w:b/>
        </w:rPr>
        <w:t xml:space="preserve">Error Response Validation: </w:t>
      </w:r>
      <w:r>
        <w:t>Asserts that duplicate registrations return HTTP 409, invalid IDs return HTTP 404, and invalid score entries return HTTP 400 or 422.</w:t>
      </w:r>
    </w:p>
    <w:p>
      <w:pPr>
        <w:pStyle w:val="ListBullet"/>
        <w:spacing w:after="60"/>
      </w:pPr>
      <w:r>
        <w:rPr>
          <w:b/>
        </w:rPr>
        <w:t xml:space="preserve">Automated Cleanup: </w:t>
      </w:r>
      <w:r>
        <w:t>Deletes the created student profiles, database records, and results to leave the database clean after testing.</w:t>
      </w:r>
    </w:p>
    <w:p>
      <w:pPr>
        <w:keepNext/>
        <w:spacing w:before="360" w:after="120"/>
      </w:pPr>
      <w:r>
        <w:rPr>
          <w:rFonts w:ascii="Arial" w:hAnsi="Arial"/>
          <w:b/>
          <w:color w:val="1A365D"/>
          <w:sz w:val="36"/>
        </w:rPr>
        <w:t>11. OpenAPI Integration</w:t>
      </w:r>
    </w:p>
    <w:p>
      <w:r>
        <w:t>The system integrates Springdoc-OpenAPI to generate API documentation from the Java controllers at runtime. Configured in pom.xml using dependency version 2.3.0, it exposes the Swagger UI and OpenAPI documentation:</w:t>
      </w:r>
    </w:p>
    <w:p>
      <w:pPr>
        <w:pStyle w:val="ListBullet"/>
        <w:spacing w:after="60"/>
      </w:pPr>
      <w:r>
        <w:rPr>
          <w:b/>
        </w:rPr>
        <w:t xml:space="preserve">Interactive API Console: </w:t>
      </w:r>
      <w:r>
        <w:t>Available at http://localhost:8080/swagger-ui.html. Developers can test API requests directly in a web interface.</w:t>
      </w:r>
    </w:p>
    <w:p>
      <w:pPr>
        <w:pStyle w:val="ListBullet"/>
        <w:spacing w:after="60"/>
      </w:pPr>
      <w:r>
        <w:rPr>
          <w:b/>
        </w:rPr>
        <w:t xml:space="preserve">JSON API Documentation: </w:t>
      </w:r>
      <w:r>
        <w:t>Available at http://localhost:8080/v3/api-docs. This output can be imported into tools like Postman or used for testing automation.</w:t>
      </w:r>
    </w:p>
    <w:p>
      <w:pPr>
        <w:keepNext/>
        <w:spacing w:before="360" w:after="120"/>
      </w:pPr>
      <w:r>
        <w:rPr>
          <w:rFonts w:ascii="Arial" w:hAnsi="Arial"/>
          <w:b/>
          <w:color w:val="1A365D"/>
          <w:sz w:val="36"/>
        </w:rPr>
        <w:t>12. Future Technical Roadmap</w:t>
      </w:r>
    </w:p>
    <w:p>
      <w:r>
        <w:t>A detailed roadmap is documented in docs/FUTURE_IMPROVEMENTS.md. The planned enhancements include:</w:t>
      </w:r>
    </w:p>
    <w:p>
      <w:pPr>
        <w:pStyle w:val="ListBullet"/>
        <w:spacing w:after="60"/>
      </w:pPr>
      <w:r>
        <w:rPr>
          <w:b/>
        </w:rPr>
        <w:t xml:space="preserve">1. DTO Split: </w:t>
      </w:r>
      <w:r>
        <w:t>Refactor endpoints to use separate creation and update DTO models, protecting immutable database columns.</w:t>
      </w:r>
    </w:p>
    <w:p>
      <w:pPr>
        <w:pStyle w:val="ListBullet"/>
        <w:spacing w:after="60"/>
      </w:pPr>
      <w:r>
        <w:rPr>
          <w:b/>
        </w:rPr>
        <w:t xml:space="preserve">2. BigDecimal Migration: </w:t>
      </w:r>
      <w:r>
        <w:t>Migrate floating-point database types to BigDecimal to prevent calculation rounding errors.</w:t>
      </w:r>
    </w:p>
    <w:p>
      <w:pPr>
        <w:pStyle w:val="ListBullet"/>
        <w:spacing w:after="60"/>
      </w:pPr>
      <w:r>
        <w:rPr>
          <w:b/>
        </w:rPr>
        <w:t xml:space="preserve">3. Spring Security &amp; JWT: </w:t>
      </w:r>
      <w:r>
        <w:t>Integrate token-based authentication and role-based permissions (ROLE_STUDENT, ROLE_ADMIN).</w:t>
      </w:r>
    </w:p>
    <w:p>
      <w:pPr>
        <w:pStyle w:val="ListBullet"/>
        <w:spacing w:after="60"/>
      </w:pPr>
      <w:r>
        <w:rPr>
          <w:b/>
        </w:rPr>
        <w:t xml:space="preserve">4. Observability: </w:t>
      </w:r>
      <w:r>
        <w:t>Enable Spring Boot Actuator metrics and configure dashboards using Prometheus and Grafana.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EC0"/>
        <w:sz w:val="17"/>
      </w:rPr>
      <w:t>Confidential - Internship Deliverable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0AEC0"/>
        <w:sz w:val="17"/>
      </w:rPr>
      <w:t>Student Exam Result API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