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BA50" w14:textId="72923D7C" w:rsidR="00810B25" w:rsidRPr="00ED744D" w:rsidRDefault="00810B25" w:rsidP="00810B2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810B25">
        <w:rPr>
          <w:rFonts w:ascii="Times New Roman" w:hAnsi="Times New Roman" w:cs="Times New Roman"/>
          <w:b/>
          <w:bCs/>
          <w:sz w:val="56"/>
          <w:szCs w:val="56"/>
        </w:rPr>
        <w:t>Telco Customer Churn Analysis</w:t>
      </w:r>
    </w:p>
    <w:p w14:paraId="43093DE2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FFE4A3A" w14:textId="54EE5BED" w:rsidR="00810B25" w:rsidRPr="00810B25" w:rsidRDefault="00810B25" w:rsidP="00810B25">
      <w:pPr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 w:rsidRPr="00810B25">
        <w:rPr>
          <w:rFonts w:ascii="Times New Roman" w:hAnsi="Times New Roman" w:cs="Times New Roman"/>
          <w:b/>
          <w:bCs/>
          <w:sz w:val="32"/>
          <w:szCs w:val="32"/>
        </w:rPr>
        <w:t xml:space="preserve">Summary </w:t>
      </w:r>
      <w:r w:rsidRPr="00810B25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2401D8B1" w14:textId="049E056C" w:rsidR="00810B25" w:rsidRDefault="00810B25" w:rsidP="00810B25">
      <w:p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 xml:space="preserve">This report presents an analysis of customer churn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 xml:space="preserve"> for a telecommunications company using a dataset of 7,043 customers. The goal is to understand which customer segments are most likely to churn (i.e., stop using the service) and what factors are driving this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>. The findings will help shape strategic decisions to improve customer retention.</w:t>
      </w:r>
    </w:p>
    <w:p w14:paraId="62F91F93" w14:textId="77777777" w:rsidR="00810B25" w:rsidRPr="00810B25" w:rsidRDefault="00810B25" w:rsidP="00810B25">
      <w:pPr>
        <w:rPr>
          <w:rFonts w:ascii="Times New Roman" w:hAnsi="Times New Roman" w:cs="Times New Roman"/>
          <w:sz w:val="24"/>
          <w:szCs w:val="24"/>
        </w:rPr>
      </w:pPr>
    </w:p>
    <w:p w14:paraId="75E2D058" w14:textId="73B71C2E" w:rsidR="00810B25" w:rsidRPr="00810B25" w:rsidRDefault="00810B25" w:rsidP="00810B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0B25">
        <w:rPr>
          <w:rFonts w:ascii="Times New Roman" w:hAnsi="Times New Roman" w:cs="Times New Roman"/>
          <w:b/>
          <w:bCs/>
          <w:sz w:val="32"/>
          <w:szCs w:val="32"/>
        </w:rPr>
        <w:t>Findings</w:t>
      </w:r>
      <w:r w:rsidRPr="00810B25">
        <w:rPr>
          <w:rFonts w:ascii="Times New Roman" w:hAnsi="Times New Roman" w:cs="Times New Roman"/>
          <w:b/>
          <w:bCs/>
          <w:sz w:val="32"/>
          <w:szCs w:val="32"/>
        </w:rPr>
        <w:t xml:space="preserve"> from </w:t>
      </w:r>
      <w:proofErr w:type="gramStart"/>
      <w:r w:rsidRPr="00810B25">
        <w:rPr>
          <w:rFonts w:ascii="Times New Roman" w:hAnsi="Times New Roman" w:cs="Times New Roman"/>
          <w:b/>
          <w:bCs/>
          <w:sz w:val="32"/>
          <w:szCs w:val="32"/>
        </w:rPr>
        <w:t>Analysis :</w:t>
      </w:r>
      <w:proofErr w:type="gramEnd"/>
      <w:r w:rsidRPr="00810B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95FBC34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Churn Rate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  <w:r w:rsidRPr="00810B25">
        <w:rPr>
          <w:rFonts w:ascii="Times New Roman" w:hAnsi="Times New Roman" w:cs="Times New Roman"/>
          <w:sz w:val="24"/>
          <w:szCs w:val="24"/>
        </w:rPr>
        <w:br/>
        <w:t>26.54% of total customers have churned.</w:t>
      </w:r>
      <w:r w:rsidRPr="00810B25">
        <w:rPr>
          <w:rFonts w:ascii="Times New Roman" w:hAnsi="Times New Roman" w:cs="Times New Roman"/>
          <w:sz w:val="24"/>
          <w:szCs w:val="24"/>
        </w:rPr>
        <w:br/>
        <w:t>That means 1 out of every 4 customers is leaving the service, a significant business concern.</w:t>
      </w:r>
    </w:p>
    <w:p w14:paraId="08C3D0AA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Demographics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</w:p>
    <w:p w14:paraId="5B28BEF5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Senior Citizens show a higher churn rate than others.</w:t>
      </w:r>
    </w:p>
    <w:p w14:paraId="4532957F" w14:textId="4690B4CD" w:rsidR="00810B25" w:rsidRPr="00810B25" w:rsidRDefault="00810B25" w:rsidP="00810B25">
      <w:p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10B25">
        <w:rPr>
          <w:rFonts w:ascii="Times New Roman" w:hAnsi="Times New Roman" w:cs="Times New Roman"/>
          <w:sz w:val="24"/>
          <w:szCs w:val="24"/>
        </w:rPr>
        <w:t>Around 42% of senior citizens churned, compared to 24% of non-seniors.</w:t>
      </w:r>
    </w:p>
    <w:p w14:paraId="409DF078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Tenure (Customer Loyalty)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</w:p>
    <w:p w14:paraId="061F0271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Customers with low tenure (1–2 months) churn more.</w:t>
      </w:r>
    </w:p>
    <w:p w14:paraId="6EAD4A2B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Customers with higher tenure (&gt;40 months) tend to stay.</w:t>
      </w:r>
    </w:p>
    <w:p w14:paraId="09033867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Contract Type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</w:p>
    <w:p w14:paraId="5B9786BB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Month-to-month contracts have the highest churn (over 43%).</w:t>
      </w:r>
    </w:p>
    <w:p w14:paraId="5F18A06E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One-year and two-year contracts see much lower churn (below 12%).</w:t>
      </w:r>
    </w:p>
    <w:p w14:paraId="4ECF7666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Internet Services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</w:p>
    <w:p w14:paraId="07FE0A1D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 xml:space="preserve">Customers with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 xml:space="preserve"> = Fiber Optic or DSL churn more than those with No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InternetService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>.</w:t>
      </w:r>
    </w:p>
    <w:p w14:paraId="37D6B2F5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 xml:space="preserve">Features like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OnlineSecurity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>, and StreamingTV have higher churn among users who opted in—suggesting possible dissatisfaction.</w:t>
      </w:r>
    </w:p>
    <w:p w14:paraId="429C323A" w14:textId="77777777" w:rsidR="00810B25" w:rsidRPr="00810B25" w:rsidRDefault="00810B25" w:rsidP="00810B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Payment Method</w:t>
      </w:r>
      <w:r w:rsidRPr="00810B25">
        <w:rPr>
          <w:rFonts w:ascii="Times New Roman" w:hAnsi="Times New Roman" w:cs="Times New Roman"/>
          <w:sz w:val="24"/>
          <w:szCs w:val="24"/>
        </w:rPr>
        <w:t>:</w:t>
      </w:r>
    </w:p>
    <w:p w14:paraId="7D3FB102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Customers paying via Electronic Check churn the most (~45% churn rate).</w:t>
      </w:r>
    </w:p>
    <w:p w14:paraId="0F76A70B" w14:textId="77777777" w:rsidR="00810B25" w:rsidRPr="00810B25" w:rsidRDefault="00810B25" w:rsidP="00810B25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10B25">
        <w:rPr>
          <w:rFonts w:ascii="Times New Roman" w:hAnsi="Times New Roman" w:cs="Times New Roman"/>
          <w:sz w:val="24"/>
          <w:szCs w:val="24"/>
        </w:rPr>
        <w:t>Other methods like Bank Transfer and Credit Card (auto) show more loyalty</w:t>
      </w:r>
      <w:r w:rsidRPr="00810B25">
        <w:rPr>
          <w:rFonts w:ascii="Times New Roman" w:hAnsi="Times New Roman" w:cs="Times New Roman"/>
          <w:sz w:val="20"/>
          <w:szCs w:val="20"/>
        </w:rPr>
        <w:t>.</w:t>
      </w:r>
    </w:p>
    <w:p w14:paraId="55F31AA6" w14:textId="2657EA10" w:rsidR="00810B25" w:rsidRPr="00810B25" w:rsidRDefault="00810B25" w:rsidP="00810B25">
      <w:pPr>
        <w:rPr>
          <w:rFonts w:ascii="Times New Roman" w:hAnsi="Times New Roman" w:cs="Times New Roman"/>
        </w:rPr>
      </w:pPr>
    </w:p>
    <w:p w14:paraId="12A2A4EE" w14:textId="77777777" w:rsidR="00810B25" w:rsidRDefault="00810B25" w:rsidP="00810B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524159" w14:textId="6F4DB195" w:rsidR="00810B25" w:rsidRPr="00810B25" w:rsidRDefault="00810B25" w:rsidP="00810B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0B25">
        <w:rPr>
          <w:rFonts w:ascii="Times New Roman" w:hAnsi="Times New Roman" w:cs="Times New Roman"/>
          <w:b/>
          <w:bCs/>
          <w:sz w:val="32"/>
          <w:szCs w:val="32"/>
        </w:rPr>
        <w:t>Key Insights</w:t>
      </w:r>
    </w:p>
    <w:p w14:paraId="70A1D483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810B25">
        <w:rPr>
          <w:rFonts w:ascii="Times New Roman" w:hAnsi="Times New Roman" w:cs="Times New Roman"/>
          <w:b/>
          <w:bCs/>
          <w:sz w:val="24"/>
          <w:szCs w:val="24"/>
        </w:rPr>
        <w:t>. Tenure Impacts Retention</w:t>
      </w:r>
    </w:p>
    <w:p w14:paraId="0B6295FC" w14:textId="77777777" w:rsidR="00810B25" w:rsidRPr="00810B25" w:rsidRDefault="00810B25" w:rsidP="00810B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A strong positive correlation exists between longer tenure and customer loyalty.</w:t>
      </w:r>
    </w:p>
    <w:p w14:paraId="6020A9B4" w14:textId="77777777" w:rsidR="00810B25" w:rsidRPr="00810B25" w:rsidRDefault="00810B25" w:rsidP="00810B2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Early churn (within the first 3 months) is a major problem—suggests onboarding or service experience issues.</w:t>
      </w:r>
    </w:p>
    <w:p w14:paraId="601B5154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2. Contract Type Is Crucial</w:t>
      </w:r>
    </w:p>
    <w:p w14:paraId="130BF5C9" w14:textId="77777777" w:rsidR="00810B25" w:rsidRPr="00810B25" w:rsidRDefault="00810B25" w:rsidP="00810B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Month-to-month plans are flexible but risky in terms of churn.</w:t>
      </w:r>
    </w:p>
    <w:p w14:paraId="4CE0D392" w14:textId="77777777" w:rsidR="00810B25" w:rsidRPr="00810B25" w:rsidRDefault="00810B25" w:rsidP="00810B2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Promoting longer-term contracts with incentives could reduce churn dramatically.</w:t>
      </w:r>
    </w:p>
    <w:p w14:paraId="682160AD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3. Senior Citizens Need Better Engagement</w:t>
      </w:r>
    </w:p>
    <w:p w14:paraId="6386C87A" w14:textId="77777777" w:rsidR="00810B25" w:rsidRPr="00810B25" w:rsidRDefault="00810B25" w:rsidP="00810B2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Though they represent 16.2% of customers, they have a disproportionately higher churn.</w:t>
      </w:r>
    </w:p>
    <w:p w14:paraId="44C5E549" w14:textId="77777777" w:rsidR="00810B25" w:rsidRPr="00810B25" w:rsidRDefault="00810B25" w:rsidP="00810B2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Tailored service/support could help retain this segment.</w:t>
      </w:r>
    </w:p>
    <w:p w14:paraId="76F9E9BF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4. Internet &amp; Value-Added Services Are a Double-Edged Sword</w:t>
      </w:r>
    </w:p>
    <w:p w14:paraId="6C89487C" w14:textId="77777777" w:rsidR="00810B25" w:rsidRPr="00810B25" w:rsidRDefault="00810B25" w:rsidP="00810B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While internet services are essential, they must be reliable.</w:t>
      </w:r>
    </w:p>
    <w:p w14:paraId="69AE9FE0" w14:textId="77777777" w:rsidR="00810B25" w:rsidRPr="00810B25" w:rsidRDefault="00810B25" w:rsidP="00810B2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 xml:space="preserve">Features like </w:t>
      </w:r>
      <w:proofErr w:type="spellStart"/>
      <w:r w:rsidRPr="00810B25">
        <w:rPr>
          <w:rFonts w:ascii="Times New Roman" w:hAnsi="Times New Roman" w:cs="Times New Roman"/>
          <w:sz w:val="24"/>
          <w:szCs w:val="24"/>
        </w:rPr>
        <w:t>TechSupport</w:t>
      </w:r>
      <w:proofErr w:type="spellEnd"/>
      <w:r w:rsidRPr="00810B25">
        <w:rPr>
          <w:rFonts w:ascii="Times New Roman" w:hAnsi="Times New Roman" w:cs="Times New Roman"/>
          <w:sz w:val="24"/>
          <w:szCs w:val="24"/>
        </w:rPr>
        <w:t xml:space="preserve"> and StreamingTV correlate with higher churn if perceived as low-value or buggy.</w:t>
      </w:r>
    </w:p>
    <w:p w14:paraId="6B3844B1" w14:textId="77777777" w:rsidR="00810B25" w:rsidRPr="00810B25" w:rsidRDefault="00810B25" w:rsidP="00810B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B25">
        <w:rPr>
          <w:rFonts w:ascii="Times New Roman" w:hAnsi="Times New Roman" w:cs="Times New Roman"/>
          <w:b/>
          <w:bCs/>
          <w:sz w:val="24"/>
          <w:szCs w:val="24"/>
        </w:rPr>
        <w:t>5. Electronic Check Users Are Volatile</w:t>
      </w:r>
    </w:p>
    <w:p w14:paraId="68B01EDA" w14:textId="77777777" w:rsidR="00810B25" w:rsidRPr="00810B25" w:rsidRDefault="00810B25" w:rsidP="00810B2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This segment has the highest churn.</w:t>
      </w:r>
    </w:p>
    <w:p w14:paraId="479C8868" w14:textId="77777777" w:rsidR="00810B25" w:rsidRPr="00810B25" w:rsidRDefault="00810B25" w:rsidP="00810B2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0B25">
        <w:rPr>
          <w:rFonts w:ascii="Times New Roman" w:hAnsi="Times New Roman" w:cs="Times New Roman"/>
          <w:sz w:val="24"/>
          <w:szCs w:val="24"/>
        </w:rPr>
        <w:t>Consider identifying why this method relates to dissatisfaction—perhaps it's associated with less tech-savvy or more price-sensitive users.</w:t>
      </w:r>
    </w:p>
    <w:p w14:paraId="7E9362C6" w14:textId="77777777" w:rsidR="00A1237A" w:rsidRPr="00810B25" w:rsidRDefault="00A1237A">
      <w:pPr>
        <w:rPr>
          <w:rFonts w:ascii="Times New Roman" w:hAnsi="Times New Roman" w:cs="Times New Roman"/>
        </w:rPr>
      </w:pPr>
    </w:p>
    <w:sectPr w:rsidR="00A1237A" w:rsidRPr="0081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542D"/>
    <w:multiLevelType w:val="multilevel"/>
    <w:tmpl w:val="FD7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702"/>
    <w:multiLevelType w:val="multilevel"/>
    <w:tmpl w:val="A8C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29D5"/>
    <w:multiLevelType w:val="hybridMultilevel"/>
    <w:tmpl w:val="FAC4D0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D51AD"/>
    <w:multiLevelType w:val="multilevel"/>
    <w:tmpl w:val="2480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74BF8"/>
    <w:multiLevelType w:val="multilevel"/>
    <w:tmpl w:val="3D1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60F"/>
    <w:multiLevelType w:val="multilevel"/>
    <w:tmpl w:val="EF66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C0EC4"/>
    <w:multiLevelType w:val="multilevel"/>
    <w:tmpl w:val="343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20023">
    <w:abstractNumId w:val="0"/>
  </w:num>
  <w:num w:numId="2" w16cid:durableId="3871388">
    <w:abstractNumId w:val="4"/>
  </w:num>
  <w:num w:numId="3" w16cid:durableId="394550487">
    <w:abstractNumId w:val="1"/>
  </w:num>
  <w:num w:numId="4" w16cid:durableId="718482015">
    <w:abstractNumId w:val="6"/>
  </w:num>
  <w:num w:numId="5" w16cid:durableId="60177612">
    <w:abstractNumId w:val="5"/>
  </w:num>
  <w:num w:numId="6" w16cid:durableId="1414813568">
    <w:abstractNumId w:val="3"/>
  </w:num>
  <w:num w:numId="7" w16cid:durableId="160904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25"/>
    <w:rsid w:val="000E48B1"/>
    <w:rsid w:val="00600B97"/>
    <w:rsid w:val="00677F9C"/>
    <w:rsid w:val="00810B25"/>
    <w:rsid w:val="00A1237A"/>
    <w:rsid w:val="00E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CB51A"/>
  <w15:chartTrackingRefBased/>
  <w15:docId w15:val="{DEBD6CC2-2F96-417B-BCD2-0F1CBD32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</Words>
  <Characters>2109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manatkar</dc:creator>
  <cp:keywords/>
  <dc:description/>
  <cp:lastModifiedBy>atharv manatkar</cp:lastModifiedBy>
  <cp:revision>1</cp:revision>
  <dcterms:created xsi:type="dcterms:W3CDTF">2025-06-30T07:24:00Z</dcterms:created>
  <dcterms:modified xsi:type="dcterms:W3CDTF">2025-06-30T07:38:00Z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f4e72258-7398-4f8e-801a-c2db491ea3f6</vt:lpwstr>
  </property>
</Properties>
</file>