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PIPELINE VENTURE AGREEMENT — EXTRACT</w:t>
      </w:r>
    </w:p>
    <w:p>
      <w:r>
        <w:t>Synthetic test document. Only the clause below is taken from this project's existing sample contract; the surrounding material is filler.</w:t>
      </w:r>
    </w:p>
    <w:p>
      <w:r>
        <w:t>Section 22.3 (Reporting Scope): For purposes of this agreement, emissions reporting shall be limited to Scope 1 and Scope 2 sources only. Scope 3 downstream emissions shall not be subject to any reporting or accountability requirement under this venture.</w:t>
      </w:r>
    </w:p>
    <w:p>
      <w:pPr>
        <w:pStyle w:val="Heading2"/>
      </w:pPr>
      <w:r>
        <w:t>Schedule 1 — Reporting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Emissions category</w:t>
            </w:r>
          </w:p>
        </w:tc>
        <w:tc>
          <w:tcPr>
            <w:tcW w:type="dxa" w:w="4320"/>
          </w:tcPr>
          <w:p>
            <w:r>
              <w:t>Treatment under this Agreement</w:t>
            </w:r>
          </w:p>
        </w:tc>
      </w:tr>
      <w:tr>
        <w:tc>
          <w:tcPr>
            <w:tcW w:type="dxa" w:w="4320"/>
          </w:tcPr>
          <w:p>
            <w:r>
              <w:t>Scope 1 (direct)</w:t>
            </w:r>
          </w:p>
        </w:tc>
        <w:tc>
          <w:tcPr>
            <w:tcW w:type="dxa" w:w="4320"/>
          </w:tcPr>
          <w:p>
            <w:r>
              <w:t>Reported quarterly to the Management Committee.</w:t>
            </w:r>
          </w:p>
        </w:tc>
      </w:tr>
      <w:tr>
        <w:tc>
          <w:tcPr>
            <w:tcW w:type="dxa" w:w="4320"/>
          </w:tcPr>
          <w:p>
            <w:r>
              <w:t>Scope 2 (purchased energy)</w:t>
            </w:r>
          </w:p>
        </w:tc>
        <w:tc>
          <w:tcPr>
            <w:tcW w:type="dxa" w:w="4320"/>
          </w:tcPr>
          <w:p>
            <w:r>
              <w:t>Reported quarterly to the Management Committee.</w:t>
            </w:r>
          </w:p>
        </w:tc>
      </w:tr>
      <w:tr>
        <w:tc>
          <w:tcPr>
            <w:tcW w:type="dxa" w:w="4320"/>
          </w:tcPr>
          <w:p>
            <w:r>
              <w:t>Scope 3 (downstream)</w:t>
            </w:r>
          </w:p>
        </w:tc>
        <w:tc>
          <w:tcPr>
            <w:tcW w:type="dxa" w:w="4320"/>
          </w:tcPr>
          <w:p>
            <w:r>
              <w:t>Not reported. No accountability requirement.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