
<file path=[Content_Types].xml><?xml version="1.0" encoding="utf-8"?>
<Types xmlns="http://schemas.openxmlformats.org/package/2006/content-types"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79f3368820ff455b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2B4ABAE" w14:textId="77777777" w:rsidR="00C8652E" w:rsidRPr="00EE426C" w:rsidRDefault="00C8652E" w:rsidP="002C648B">
      <w:pPr>
        <w:pStyle w:val="papertitle"/>
      </w:pPr>
      <w:r>
        <w:t>Contribution Title</w:t>
      </w:r>
    </w:p>
    <w:p w14:paraId="682AE17D" w14:textId="7EF8A737" w:rsidR="00C8652E" w:rsidRPr="00EE426C" w:rsidRDefault="00C8652E" w:rsidP="00C8652E">
      <w:pPr>
        <w:pStyle w:val="author"/>
      </w:pPr>
      <w:r>
        <w:t>First Author</w:t>
      </w:r>
      <w:r w:rsidRPr="00EE426C">
        <w:rPr>
          <w:vertAlign w:val="superscript"/>
        </w:rPr>
        <w:t>1</w:t>
      </w:r>
      <w:r w:rsidR="00774AA9" w:rsidRPr="00774AA9">
        <w:rPr>
          <w:rStyle w:val="ORCID"/>
        </w:rPr>
        <w:t>[0000-1111-2222-3333]</w:t>
      </w:r>
      <w:r w:rsidRPr="00EE426C">
        <w:t xml:space="preserve"> and </w:t>
      </w:r>
      <w:r>
        <w:t>Second Author</w:t>
      </w:r>
      <w:r w:rsidRPr="00EE426C">
        <w:rPr>
          <w:vertAlign w:val="superscript"/>
        </w:rPr>
        <w:t>2</w:t>
      </w:r>
      <w:r w:rsidR="00774AA9" w:rsidRPr="00774AA9">
        <w:rPr>
          <w:rStyle w:val="ORCID"/>
        </w:rPr>
        <w:t>[1111-2222-3333-4444]</w:t>
      </w:r>
    </w:p>
    <w:p w14:paraId="501969DA" w14:textId="77777777" w:rsidR="00C8652E" w:rsidRPr="00EE426C" w:rsidRDefault="00C8652E" w:rsidP="00C8652E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Princeton University, Princeton NJ 08544, USA</w:t>
      </w:r>
    </w:p>
    <w:p w14:paraId="79FEC12F" w14:textId="77777777" w:rsidR="00C8652E" w:rsidRPr="006809AE" w:rsidRDefault="00C8652E" w:rsidP="00C8652E">
      <w:pPr>
        <w:pStyle w:val="address"/>
        <w:rPr>
          <w:lang w:val="de-DE"/>
        </w:rPr>
      </w:pPr>
      <w:r w:rsidRPr="006809AE">
        <w:rPr>
          <w:vertAlign w:val="superscript"/>
          <w:lang w:val="de-DE"/>
        </w:rPr>
        <w:t>2</w:t>
      </w:r>
      <w:r w:rsidRPr="006809AE">
        <w:rPr>
          <w:lang w:val="de-DE"/>
        </w:rPr>
        <w:t xml:space="preserve"> Springer Heidelberg, Tiergartenstr. 17, 69121 Heidelberg, Germany</w:t>
      </w:r>
      <w:r w:rsidRPr="006809AE">
        <w:rPr>
          <w:lang w:val="de-DE"/>
        </w:rPr>
        <w:br/>
      </w:r>
      <w:r w:rsidRPr="006809AE">
        <w:rPr>
          <w:rStyle w:val="e-mail"/>
        </w:rPr>
        <w:t>lncs@springer.com</w:t>
      </w:r>
    </w:p>
    <w:p w14:paraId="3D4624FB" w14:textId="77777777" w:rsidR="00C8652E" w:rsidRPr="00EE426C" w:rsidRDefault="00C8652E" w:rsidP="00C8652E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</w:t>
      </w:r>
      <w:r>
        <w:t>e abstract</w:t>
      </w:r>
      <w:r w:rsidRPr="00EE426C">
        <w:t xml:space="preserve"> </w:t>
      </w:r>
      <w:r>
        <w:t xml:space="preserve">should </w:t>
      </w:r>
      <w:r w:rsidRPr="00EE426C">
        <w:t>summarize the contents of the paper in short terms, i.e. 150-250 words.</w:t>
      </w:r>
    </w:p>
    <w:p w14:paraId="4705833B" w14:textId="77777777" w:rsidR="00C8652E" w:rsidRPr="00EE426C" w:rsidRDefault="00C8652E" w:rsidP="00C8652E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>
        <w:t>First Keyword</w:t>
      </w:r>
      <w:r w:rsidRPr="00EE426C">
        <w:t xml:space="preserve">, </w:t>
      </w:r>
      <w:r>
        <w:t>Second Keyword, Third Keyword.</w:t>
      </w:r>
    </w:p>
    <w:p w14:paraId="3988444D" w14:textId="2658DA6F" w:rsidR="00C8652E" w:rsidRDefault="00D05099" w:rsidP="00D05099">
      <w:pPr>
        <w:pStyle w:val="heading1"/>
      </w:pPr>
      <w:r>
        <w:t>Introduction</w:t>
      </w:r>
    </w:p>
    <w:p w14:paraId="532AB42B" w14:textId="77777777" w:rsidR="00FD2D03" w:rsidRPr="00FD2D03" w:rsidRDefault="00FD2D03" w:rsidP="00FD2D03">
      <w:pPr>
        <w:pStyle w:val="p1a"/>
      </w:pPr>
      <w:r w:rsidRPr="00FD2D03">
        <w:t>Modern financial markets increasingly demand modelling frameworks that remain robust under rapidly shifting market regimes, non-stationary time series characteristics, and high-dimensional dependency structures. Classical portfolio theory began with Markowitz’s formulation of mean–variance optimization, establishing diversification as a mathematically grounded principle for risk-efficient asset allocation [1]. Subsequent advances—such as the Black–</w:t>
      </w:r>
      <w:proofErr w:type="spellStart"/>
      <w:r w:rsidRPr="00FD2D03">
        <w:t>Litterman</w:t>
      </w:r>
      <w:proofErr w:type="spellEnd"/>
      <w:r w:rsidRPr="00FD2D03">
        <w:t xml:space="preserve"> global equilibrium framework [2], resampling-based critiques of overfitting in Markowitz portfolios [3], shrinkage estimators for stable covariance matrices [4], and risk-contribution–based allocations such as risk-parity portfolios [5]—further refined portfolio construction under uncertainty.</w:t>
      </w:r>
    </w:p>
    <w:p w14:paraId="284EABF1" w14:textId="77777777" w:rsidR="00FD2D03" w:rsidRPr="00FD2D03" w:rsidRDefault="00FD2D03" w:rsidP="00FD2D03">
      <w:pPr>
        <w:pStyle w:val="p1a"/>
      </w:pPr>
    </w:p>
    <w:p w14:paraId="6D26F99D" w14:textId="77777777" w:rsidR="00FD2D03" w:rsidRPr="00FD2D03" w:rsidRDefault="00FD2D03" w:rsidP="00FD2D03">
      <w:pPr>
        <w:pStyle w:val="p1a"/>
      </w:pPr>
      <w:r w:rsidRPr="00FD2D03">
        <w:t xml:space="preserve">While these developments significantly strengthened the foundations of portfolio optimization, modeling *tail risk* and *non-linear downside exposure* remains a critical challenge. Conditional Value-at-Risk (CVaR) emerged as a coherent, optimization-friendly alternative to </w:t>
      </w:r>
      <w:proofErr w:type="spellStart"/>
      <w:r w:rsidRPr="00FD2D03">
        <w:t>VaR</w:t>
      </w:r>
      <w:proofErr w:type="spellEnd"/>
      <w:r w:rsidRPr="00FD2D03">
        <w:t xml:space="preserve">, with </w:t>
      </w:r>
      <w:proofErr w:type="spellStart"/>
      <w:r w:rsidRPr="00FD2D03">
        <w:t>Rockafellar</w:t>
      </w:r>
      <w:proofErr w:type="spellEnd"/>
      <w:r w:rsidRPr="00FD2D03">
        <w:t xml:space="preserve"> and </w:t>
      </w:r>
      <w:proofErr w:type="spellStart"/>
      <w:r w:rsidRPr="00FD2D03">
        <w:t>Uryasev</w:t>
      </w:r>
      <w:proofErr w:type="spellEnd"/>
      <w:r w:rsidRPr="00FD2D03">
        <w:t xml:space="preserve"> demonstrating that CVaR can be directly embedded into convex optimization programs [6]. Further generalizations to arbitrary loss distributions expanded </w:t>
      </w:r>
      <w:proofErr w:type="gramStart"/>
      <w:r w:rsidRPr="00FD2D03">
        <w:t>its</w:t>
      </w:r>
      <w:proofErr w:type="gramEnd"/>
      <w:r w:rsidRPr="00FD2D03">
        <w:t xml:space="preserve"> applicability to realistic market settings characterized by fat tails and regime shifts [7]. In parallel, classical risk modeling </w:t>
      </w:r>
      <w:proofErr w:type="gramStart"/>
      <w:r w:rsidRPr="00FD2D03">
        <w:t>approaches—</w:t>
      </w:r>
      <w:proofErr w:type="gramEnd"/>
      <w:r w:rsidRPr="00FD2D03">
        <w:t xml:space="preserve">including parametric </w:t>
      </w:r>
      <w:proofErr w:type="spellStart"/>
      <w:r w:rsidRPr="00FD2D03">
        <w:t>VaR</w:t>
      </w:r>
      <w:proofErr w:type="spellEnd"/>
      <w:r w:rsidRPr="00FD2D03">
        <w:t xml:space="preserve"> [14], Monte Carlo simulation, and GARCH-family volatility models—have been widely used to estimate risk in dynamic environments [15, 16]. Yet these tools face scaling and performance bottlenecks when dealing with high-dimensional portfolios or highly non-linear dependence structures.</w:t>
      </w:r>
    </w:p>
    <w:p w14:paraId="0B42FDAA" w14:textId="77777777" w:rsidR="00FD2D03" w:rsidRPr="00FD2D03" w:rsidRDefault="00FD2D03" w:rsidP="00FD2D03">
      <w:pPr>
        <w:pStyle w:val="p1a"/>
      </w:pPr>
    </w:p>
    <w:p w14:paraId="240A1F87" w14:textId="723893FE" w:rsidR="00FD2D03" w:rsidRPr="00FD2D03" w:rsidRDefault="00FD2D03" w:rsidP="00FD2D03">
      <w:pPr>
        <w:pStyle w:val="p1a"/>
      </w:pPr>
      <w:r w:rsidRPr="00FD2D03">
        <w:t>Recent progress in quantum computing suggests a potential paradigm shift for risk and portfolio analytics. Foundational methods such as Quantum PCA (</w:t>
      </w:r>
      <w:proofErr w:type="spellStart"/>
      <w:r w:rsidRPr="00FD2D03">
        <w:t>qPCA</w:t>
      </w:r>
      <w:proofErr w:type="spellEnd"/>
      <w:r w:rsidRPr="00FD2D03">
        <w:t>) [8] and its low-complexity variants [9] introduced quantum routines for spectral estimation and dimensionality reduction. Building on these ideas, early conceptual frameworks for quantum risk modelling [10</w:t>
      </w:r>
      <w:r>
        <w:t>]</w:t>
      </w:r>
      <w:r w:rsidRPr="00FD2D03">
        <w:t xml:space="preserve">, </w:t>
      </w:r>
      <w:r>
        <w:t>[</w:t>
      </w:r>
      <w:r w:rsidRPr="00FD2D03">
        <w:t>11</w:t>
      </w:r>
      <w:r>
        <w:t>]</w:t>
      </w:r>
      <w:r w:rsidRPr="00FD2D03">
        <w:t xml:space="preserve">, </w:t>
      </w:r>
      <w:r>
        <w:t>[</w:t>
      </w:r>
      <w:r w:rsidRPr="00FD2D03">
        <w:t>12</w:t>
      </w:r>
      <w:r>
        <w:t>]</w:t>
      </w:r>
      <w:r w:rsidRPr="00FD2D03">
        <w:t xml:space="preserve">, </w:t>
      </w:r>
      <w:r>
        <w:t>[</w:t>
      </w:r>
      <w:r w:rsidRPr="00FD2D03">
        <w:t>13] motivate the use of quantum algorithms—</w:t>
      </w:r>
      <w:r w:rsidRPr="00FD2D03">
        <w:lastRenderedPageBreak/>
        <w:t xml:space="preserve">such as amplitude estimation—for accelerating Monte Carlo–style risk evaluation and improving tail-risk estimation precision. Meanwhile, quantum optimization research has explored mapping financial portfolio problems to QUBO formulations suitable for quantum hardware [17], as well as early demonstrations of quantum mean-variance optimization and QAOA-based routines within the </w:t>
      </w:r>
      <w:proofErr w:type="spellStart"/>
      <w:r w:rsidRPr="00FD2D03">
        <w:t>Qiskit</w:t>
      </w:r>
      <w:proofErr w:type="spellEnd"/>
      <w:r w:rsidRPr="00FD2D03">
        <w:t xml:space="preserve"> Finance ecosystem [18]. These developments show promise but require systematic evaluation to determine where quantum advantages may be practical, contextual, or merely theoretical.</w:t>
      </w:r>
    </w:p>
    <w:p w14:paraId="33683D6F" w14:textId="77777777" w:rsidR="00FD2D03" w:rsidRPr="00FD2D03" w:rsidRDefault="00FD2D03" w:rsidP="00FD2D03">
      <w:pPr>
        <w:pStyle w:val="p1a"/>
      </w:pPr>
    </w:p>
    <w:p w14:paraId="4109986D" w14:textId="77777777" w:rsidR="00FD2D03" w:rsidRPr="00FD2D03" w:rsidRDefault="00FD2D03" w:rsidP="00FD2D03">
      <w:pPr>
        <w:pStyle w:val="p1a"/>
      </w:pPr>
      <w:r w:rsidRPr="00FD2D03">
        <w:t>At the same time, hybrid AI-based workflows are becoming increasingly relevant for financial simulation and scenario generation. Neural generative models, such as GAN-based synthetic financial scenario generators [19], further highlight the emergence of data-driven risk estimation frameworks that may complement or compete with classical and quantum approaches.</w:t>
      </w:r>
    </w:p>
    <w:p w14:paraId="282963EB" w14:textId="77777777" w:rsidR="00FD2D03" w:rsidRPr="00FD2D03" w:rsidRDefault="00FD2D03" w:rsidP="00FD2D03">
      <w:pPr>
        <w:pStyle w:val="p1a"/>
      </w:pPr>
    </w:p>
    <w:p w14:paraId="56EAEB70" w14:textId="77777777" w:rsidR="00FD2D03" w:rsidRPr="00FD2D03" w:rsidRDefault="00FD2D03" w:rsidP="00FD2D03">
      <w:pPr>
        <w:pStyle w:val="p1a"/>
      </w:pPr>
    </w:p>
    <w:p w14:paraId="0D5702F4" w14:textId="77777777" w:rsidR="00FD2D03" w:rsidRPr="00FD2D03" w:rsidRDefault="00FD2D03" w:rsidP="009043BE">
      <w:pPr>
        <w:pStyle w:val="heading2"/>
      </w:pPr>
      <w:r w:rsidRPr="00FD2D03">
        <w:t>Problem Statement</w:t>
      </w:r>
    </w:p>
    <w:p w14:paraId="5E190742" w14:textId="77777777" w:rsidR="00FD2D03" w:rsidRPr="00FD2D03" w:rsidRDefault="00FD2D03" w:rsidP="00FD2D03">
      <w:pPr>
        <w:pStyle w:val="p1a"/>
      </w:pPr>
    </w:p>
    <w:p w14:paraId="013846CC" w14:textId="77777777" w:rsidR="00FD2D03" w:rsidRPr="00FD2D03" w:rsidRDefault="00FD2D03" w:rsidP="00FD2D03">
      <w:pPr>
        <w:pStyle w:val="p1a"/>
      </w:pPr>
      <w:r w:rsidRPr="00FD2D03">
        <w:t>Despite the existence of strong theoretical tools across classical, machine-learning, and quantum paradigms, there is **no unified, comparative architecture** that systematically evaluates how these risk and optimization methods behave under different **market regimes**, **data conditions**, and **computational constraints**.</w:t>
      </w:r>
    </w:p>
    <w:p w14:paraId="6700AF16" w14:textId="77777777" w:rsidR="00FD2D03" w:rsidRPr="00FD2D03" w:rsidRDefault="00FD2D03" w:rsidP="00FD2D03">
      <w:pPr>
        <w:pStyle w:val="p1a"/>
      </w:pPr>
      <w:r w:rsidRPr="00FD2D03">
        <w:t>Specifically:</w:t>
      </w:r>
    </w:p>
    <w:p w14:paraId="2049DAED" w14:textId="77777777" w:rsidR="00FD2D03" w:rsidRPr="00FD2D03" w:rsidRDefault="00FD2D03" w:rsidP="00FD2D03">
      <w:pPr>
        <w:pStyle w:val="p1a"/>
      </w:pPr>
    </w:p>
    <w:p w14:paraId="4C6085AC" w14:textId="77777777" w:rsidR="00FD2D03" w:rsidRPr="00FD2D03" w:rsidRDefault="00FD2D03" w:rsidP="00FD2D03">
      <w:pPr>
        <w:pStyle w:val="p1a"/>
      </w:pPr>
      <w:r w:rsidRPr="00FD2D03">
        <w:t>* Classical methods face estimation error, instability, and difficulty scaling in non-stationary or high-volatility regimes.</w:t>
      </w:r>
    </w:p>
    <w:p w14:paraId="2DF4ED94" w14:textId="77777777" w:rsidR="00FD2D03" w:rsidRPr="00FD2D03" w:rsidRDefault="00FD2D03" w:rsidP="00FD2D03">
      <w:pPr>
        <w:pStyle w:val="p1a"/>
      </w:pPr>
      <w:r w:rsidRPr="00FD2D03">
        <w:t>* ML and generative models provide flexibility but lack interpretability and often violate financial constraints.</w:t>
      </w:r>
    </w:p>
    <w:p w14:paraId="284B154B" w14:textId="77777777" w:rsidR="00FD2D03" w:rsidRPr="00FD2D03" w:rsidRDefault="00FD2D03" w:rsidP="00FD2D03">
      <w:pPr>
        <w:pStyle w:val="p1a"/>
      </w:pPr>
      <w:r w:rsidRPr="00FD2D03">
        <w:t>* Quantum algorithms show theoretical asymptotic advantages, yet their *practical* performance relative to classical baselines remains unclear.</w:t>
      </w:r>
    </w:p>
    <w:p w14:paraId="637C9F82" w14:textId="77777777" w:rsidR="00FD2D03" w:rsidRPr="00FD2D03" w:rsidRDefault="00FD2D03" w:rsidP="00FD2D03">
      <w:pPr>
        <w:pStyle w:val="p1a"/>
      </w:pPr>
      <w:r w:rsidRPr="00FD2D03">
        <w:t>* No existing framework maps **Market Regime → Method Performance → LLM Tool-Selection Reasoning**, which is essential for developing interpretable hybrid AI–quant systems.</w:t>
      </w:r>
    </w:p>
    <w:p w14:paraId="3F002015" w14:textId="77777777" w:rsidR="00FD2D03" w:rsidRPr="00FD2D03" w:rsidRDefault="00FD2D03" w:rsidP="00FD2D03">
      <w:pPr>
        <w:pStyle w:val="p1a"/>
      </w:pPr>
    </w:p>
    <w:p w14:paraId="02DBA804" w14:textId="77777777" w:rsidR="00FD2D03" w:rsidRPr="00FD2D03" w:rsidRDefault="00FD2D03" w:rsidP="00FD2D03">
      <w:pPr>
        <w:pStyle w:val="p1a"/>
      </w:pPr>
    </w:p>
    <w:p w14:paraId="3FC94186" w14:textId="77777777" w:rsidR="00FD2D03" w:rsidRPr="00FD2D03" w:rsidRDefault="00FD2D03" w:rsidP="00FD2D03">
      <w:pPr>
        <w:pStyle w:val="p1a"/>
      </w:pPr>
    </w:p>
    <w:p w14:paraId="26E381A2" w14:textId="77777777" w:rsidR="00FD2D03" w:rsidRPr="00FD2D03" w:rsidRDefault="00FD2D03" w:rsidP="009043BE">
      <w:pPr>
        <w:pStyle w:val="heading2"/>
      </w:pPr>
      <w:r w:rsidRPr="00FD2D03">
        <w:t>Objectives</w:t>
      </w:r>
    </w:p>
    <w:p w14:paraId="00F0E711" w14:textId="77777777" w:rsidR="00FD2D03" w:rsidRPr="00FD2D03" w:rsidRDefault="00FD2D03" w:rsidP="00FD2D03">
      <w:pPr>
        <w:pStyle w:val="p1a"/>
      </w:pPr>
    </w:p>
    <w:p w14:paraId="34DD2808" w14:textId="77777777" w:rsidR="00FD2D03" w:rsidRPr="00FD2D03" w:rsidRDefault="00FD2D03" w:rsidP="00FD2D03">
      <w:pPr>
        <w:pStyle w:val="p1a"/>
      </w:pPr>
      <w:r w:rsidRPr="00FD2D03">
        <w:t xml:space="preserve">This project proposes a **Quantum–Classical Hybrid Hedge Fund Architecture** that is **not a trading bot**, but a **comparative, evaluative </w:t>
      </w:r>
      <w:proofErr w:type="gramStart"/>
      <w:r w:rsidRPr="00FD2D03">
        <w:t>test-bed</w:t>
      </w:r>
      <w:proofErr w:type="gramEnd"/>
      <w:r w:rsidRPr="00FD2D03">
        <w:t>** to study risk assessment and portfolio optimization using classical, ML-based, and quantum techniques.</w:t>
      </w:r>
    </w:p>
    <w:p w14:paraId="23557EDF" w14:textId="77777777" w:rsidR="00FD2D03" w:rsidRPr="00FD2D03" w:rsidRDefault="00FD2D03" w:rsidP="00FD2D03">
      <w:pPr>
        <w:pStyle w:val="p1a"/>
      </w:pPr>
    </w:p>
    <w:p w14:paraId="21F0E653" w14:textId="77777777" w:rsidR="00FD2D03" w:rsidRPr="00FD2D03" w:rsidRDefault="00FD2D03" w:rsidP="00FD2D03">
      <w:pPr>
        <w:pStyle w:val="p1a"/>
      </w:pPr>
      <w:r w:rsidRPr="00FD2D03">
        <w:t>The key objectives are:</w:t>
      </w:r>
    </w:p>
    <w:p w14:paraId="31C0CDEA" w14:textId="77777777" w:rsidR="00FD2D03" w:rsidRPr="00FD2D03" w:rsidRDefault="00FD2D03" w:rsidP="00FD2D03">
      <w:pPr>
        <w:pStyle w:val="p1a"/>
      </w:pPr>
    </w:p>
    <w:p w14:paraId="4CA85E57" w14:textId="77777777" w:rsidR="00FD2D03" w:rsidRPr="00FD2D03" w:rsidRDefault="00FD2D03" w:rsidP="00FD2D03">
      <w:pPr>
        <w:pStyle w:val="p1a"/>
      </w:pPr>
      <w:r w:rsidRPr="00FD2D03">
        <w:t>1. Risk Assessment Evaluation:</w:t>
      </w:r>
    </w:p>
    <w:p w14:paraId="72380702" w14:textId="77777777" w:rsidR="00FD2D03" w:rsidRPr="00FD2D03" w:rsidRDefault="00FD2D03" w:rsidP="00FD2D03">
      <w:pPr>
        <w:pStyle w:val="p1a"/>
      </w:pPr>
    </w:p>
    <w:p w14:paraId="6A71C053" w14:textId="77777777" w:rsidR="00FD2D03" w:rsidRPr="00FD2D03" w:rsidRDefault="00FD2D03" w:rsidP="00FD2D03">
      <w:pPr>
        <w:pStyle w:val="p1a"/>
      </w:pPr>
      <w:r w:rsidRPr="00FD2D03">
        <w:t xml:space="preserve">   * Compare </w:t>
      </w:r>
      <w:proofErr w:type="spellStart"/>
      <w:r w:rsidRPr="00FD2D03">
        <w:t>VaR</w:t>
      </w:r>
      <w:proofErr w:type="spellEnd"/>
      <w:r w:rsidRPr="00FD2D03">
        <w:t xml:space="preserve">, CVaR, Monte Carlo, GARCH models [14–16], and quantum risk estimators (QAE-based </w:t>
      </w:r>
      <w:proofErr w:type="spellStart"/>
      <w:r w:rsidRPr="00FD2D03">
        <w:t>VaR</w:t>
      </w:r>
      <w:proofErr w:type="spellEnd"/>
      <w:r w:rsidRPr="00FD2D03">
        <w:t>/CVaR, variational quantum risk models) [10–13].</w:t>
      </w:r>
    </w:p>
    <w:p w14:paraId="28EC1FDF" w14:textId="77777777" w:rsidR="00FD2D03" w:rsidRPr="00FD2D03" w:rsidRDefault="00FD2D03" w:rsidP="00FD2D03">
      <w:pPr>
        <w:pStyle w:val="p1a"/>
      </w:pPr>
      <w:r w:rsidRPr="00FD2D03">
        <w:t xml:space="preserve">   * Evaluate accuracy, robustness, and computational efficiency across varying market regimes.</w:t>
      </w:r>
    </w:p>
    <w:p w14:paraId="058F8130" w14:textId="77777777" w:rsidR="00FD2D03" w:rsidRPr="00FD2D03" w:rsidRDefault="00FD2D03" w:rsidP="00FD2D03">
      <w:pPr>
        <w:pStyle w:val="p1a"/>
      </w:pPr>
    </w:p>
    <w:p w14:paraId="6D5BB360" w14:textId="77777777" w:rsidR="00FD2D03" w:rsidRPr="00FD2D03" w:rsidRDefault="00FD2D03" w:rsidP="00FD2D03">
      <w:pPr>
        <w:pStyle w:val="p1a"/>
      </w:pPr>
      <w:r w:rsidRPr="00FD2D03">
        <w:t>2. Portfolio Construction &amp; Optimization:</w:t>
      </w:r>
    </w:p>
    <w:p w14:paraId="71FD58C4" w14:textId="77777777" w:rsidR="00FD2D03" w:rsidRPr="00FD2D03" w:rsidRDefault="00FD2D03" w:rsidP="00FD2D03">
      <w:pPr>
        <w:pStyle w:val="p1a"/>
      </w:pPr>
    </w:p>
    <w:p w14:paraId="1F4350D0" w14:textId="77777777" w:rsidR="00FD2D03" w:rsidRPr="00FD2D03" w:rsidRDefault="00FD2D03" w:rsidP="00FD2D03">
      <w:pPr>
        <w:pStyle w:val="p1a"/>
      </w:pPr>
      <w:r w:rsidRPr="00FD2D03">
        <w:t xml:space="preserve">   * Benchmark classical MPT [1], Black–</w:t>
      </w:r>
      <w:proofErr w:type="spellStart"/>
      <w:r w:rsidRPr="00FD2D03">
        <w:t>Litterman</w:t>
      </w:r>
      <w:proofErr w:type="spellEnd"/>
      <w:r w:rsidRPr="00FD2D03">
        <w:t xml:space="preserve"> [2], shrinkage-based methods [4], and risk-parity constructions [5].</w:t>
      </w:r>
    </w:p>
    <w:p w14:paraId="74800DE8" w14:textId="77777777" w:rsidR="00FD2D03" w:rsidRPr="00FD2D03" w:rsidRDefault="00FD2D03" w:rsidP="00FD2D03">
      <w:pPr>
        <w:pStyle w:val="p1a"/>
      </w:pPr>
      <w:r w:rsidRPr="00FD2D03">
        <w:t xml:space="preserve">   * Compare against ML-based allocation approaches and quantum optimization frameworks (QAOA, QUBO-based mappings, </w:t>
      </w:r>
      <w:proofErr w:type="spellStart"/>
      <w:r w:rsidRPr="00FD2D03">
        <w:t>Qiskit</w:t>
      </w:r>
      <w:proofErr w:type="spellEnd"/>
      <w:r w:rsidRPr="00FD2D03">
        <w:t xml:space="preserve"> Finance implementations) [17–18].</w:t>
      </w:r>
    </w:p>
    <w:p w14:paraId="6FA26F05" w14:textId="77777777" w:rsidR="00FD2D03" w:rsidRPr="00FD2D03" w:rsidRDefault="00FD2D03" w:rsidP="00FD2D03">
      <w:pPr>
        <w:pStyle w:val="p1a"/>
      </w:pPr>
    </w:p>
    <w:p w14:paraId="458A08D4" w14:textId="77777777" w:rsidR="00FD2D03" w:rsidRPr="00FD2D03" w:rsidRDefault="00FD2D03" w:rsidP="00FD2D03">
      <w:pPr>
        <w:pStyle w:val="p1a"/>
      </w:pPr>
      <w:r w:rsidRPr="00FD2D03">
        <w:t>3. Regime-Aware Performance Mapping:</w:t>
      </w:r>
    </w:p>
    <w:p w14:paraId="5B818A26" w14:textId="77777777" w:rsidR="00FD2D03" w:rsidRPr="00FD2D03" w:rsidRDefault="00FD2D03" w:rsidP="00FD2D03">
      <w:pPr>
        <w:pStyle w:val="p1a"/>
      </w:pPr>
    </w:p>
    <w:p w14:paraId="139DCB8B" w14:textId="77777777" w:rsidR="00FD2D03" w:rsidRPr="00FD2D03" w:rsidRDefault="00FD2D03" w:rsidP="00FD2D03">
      <w:pPr>
        <w:pStyle w:val="p1a"/>
      </w:pPr>
      <w:r w:rsidRPr="00FD2D03">
        <w:t xml:space="preserve">   * Determine which methods perform best under different volatility regimes, correlations structures, and tail-risk conditions.</w:t>
      </w:r>
    </w:p>
    <w:p w14:paraId="27965104" w14:textId="77777777" w:rsidR="00FD2D03" w:rsidRPr="00FD2D03" w:rsidRDefault="00FD2D03" w:rsidP="00FD2D03">
      <w:pPr>
        <w:pStyle w:val="p1a"/>
      </w:pPr>
    </w:p>
    <w:p w14:paraId="4CAEBECC" w14:textId="77777777" w:rsidR="00FD2D03" w:rsidRPr="00FD2D03" w:rsidRDefault="00FD2D03" w:rsidP="00FD2D03">
      <w:pPr>
        <w:pStyle w:val="p1a"/>
      </w:pPr>
      <w:r w:rsidRPr="00FD2D03">
        <w:t>4. LLM Tool-Selection Reasoning:</w:t>
      </w:r>
    </w:p>
    <w:p w14:paraId="66DA88B9" w14:textId="77777777" w:rsidR="00FD2D03" w:rsidRPr="00FD2D03" w:rsidRDefault="00FD2D03" w:rsidP="00FD2D03">
      <w:pPr>
        <w:pStyle w:val="p1a"/>
      </w:pPr>
    </w:p>
    <w:p w14:paraId="68BC21A2" w14:textId="77777777" w:rsidR="00FD2D03" w:rsidRPr="00FD2D03" w:rsidRDefault="00FD2D03" w:rsidP="00FD2D03">
      <w:pPr>
        <w:pStyle w:val="p1a"/>
      </w:pPr>
      <w:r w:rsidRPr="00FD2D03">
        <w:t xml:space="preserve">   * Build a benchmarking platform where LLM agents explain and justify the tool they select for a given market regime, enhancing interpretability and trust in hybrid AI–quant workflows.</w:t>
      </w:r>
    </w:p>
    <w:p w14:paraId="14632A6E" w14:textId="77777777" w:rsidR="00FD2D03" w:rsidRPr="00FD2D03" w:rsidRDefault="00FD2D03" w:rsidP="00FD2D03">
      <w:pPr>
        <w:pStyle w:val="p1a"/>
      </w:pPr>
    </w:p>
    <w:p w14:paraId="570569E6" w14:textId="3B5F8AFD" w:rsidR="00FD2D03" w:rsidRPr="00FD2D03" w:rsidRDefault="00FD2D03" w:rsidP="00FD2D03">
      <w:pPr>
        <w:pStyle w:val="p1a"/>
      </w:pPr>
      <w:r w:rsidRPr="00FD2D03">
        <w:t>Together, these objectives aim to produce a reproducible (</w:t>
      </w:r>
      <w:proofErr w:type="spellStart"/>
      <w:r w:rsidRPr="00FD2D03">
        <w:t>MLflow</w:t>
      </w:r>
      <w:proofErr w:type="spellEnd"/>
      <w:r w:rsidRPr="00FD2D03">
        <w:t xml:space="preserve"> + </w:t>
      </w:r>
      <w:proofErr w:type="spellStart"/>
      <w:r w:rsidRPr="00FD2D03">
        <w:t>TimescaleDB</w:t>
      </w:r>
      <w:proofErr w:type="spellEnd"/>
      <w:r w:rsidRPr="00FD2D03">
        <w:t>), market-regime-aware evaluation environment that clarifies when classical, ML, or quantum methods are appropriate—bridging theoretical developments with practical financial modeling needs.</w:t>
      </w:r>
    </w:p>
    <w:p w14:paraId="7ABB3814" w14:textId="5B42E5FB" w:rsidR="00D05099" w:rsidRDefault="00D05099" w:rsidP="00D05099">
      <w:pPr>
        <w:pStyle w:val="heading1"/>
      </w:pPr>
      <w:r>
        <w:lastRenderedPageBreak/>
        <w:t>Literature Review</w:t>
      </w:r>
    </w:p>
    <w:p w14:paraId="60B1F3B1" w14:textId="4FB67C45" w:rsidR="00D05099" w:rsidRDefault="00D05099" w:rsidP="00D05099">
      <w:pPr>
        <w:pStyle w:val="heading1"/>
      </w:pPr>
      <w:r>
        <w:t>Proposed Methodology</w:t>
      </w:r>
    </w:p>
    <w:p w14:paraId="363C3137" w14:textId="5B4C3A59" w:rsidR="00D05099" w:rsidRDefault="00D05099" w:rsidP="00D05099">
      <w:pPr>
        <w:pStyle w:val="heading1"/>
      </w:pPr>
      <w:r>
        <w:t xml:space="preserve">Results </w:t>
      </w:r>
    </w:p>
    <w:p w14:paraId="14E92690" w14:textId="00AF352E" w:rsidR="00D05099" w:rsidRDefault="00D05099" w:rsidP="00D05099">
      <w:pPr>
        <w:pStyle w:val="heading2"/>
      </w:pPr>
      <w:r>
        <w:t>Experiment Setting</w:t>
      </w:r>
    </w:p>
    <w:p w14:paraId="461DF303" w14:textId="71F8374A" w:rsidR="00D05099" w:rsidRDefault="00D05099" w:rsidP="00D05099">
      <w:pPr>
        <w:pStyle w:val="heading2"/>
      </w:pPr>
      <w:r>
        <w:t>Dataset</w:t>
      </w:r>
    </w:p>
    <w:p w14:paraId="4B73AAD8" w14:textId="4CBC0D70" w:rsidR="00D05099" w:rsidRDefault="00D05099" w:rsidP="00D05099">
      <w:pPr>
        <w:pStyle w:val="heading2"/>
      </w:pPr>
      <w:r>
        <w:t>Performance Metrics</w:t>
      </w:r>
    </w:p>
    <w:p w14:paraId="22FF3DEA" w14:textId="56D4EB08" w:rsidR="00D05099" w:rsidRDefault="00D05099" w:rsidP="00D05099">
      <w:pPr>
        <w:pStyle w:val="heading2"/>
      </w:pPr>
      <w:r>
        <w:t xml:space="preserve">Results </w:t>
      </w:r>
    </w:p>
    <w:p w14:paraId="17C8FA63" w14:textId="29BED187" w:rsidR="00D05099" w:rsidRPr="00D05099" w:rsidRDefault="00D05099" w:rsidP="00D05099">
      <w:pPr>
        <w:pStyle w:val="heading1"/>
      </w:pPr>
      <w:r>
        <w:t>Conclusion and Future Scope</w:t>
      </w:r>
    </w:p>
    <w:p w14:paraId="7FB1D6EA" w14:textId="77777777" w:rsidR="00C8652E" w:rsidRDefault="00C8652E" w:rsidP="00774AA9">
      <w:pPr>
        <w:pStyle w:val="heading2"/>
        <w:numPr>
          <w:ilvl w:val="0"/>
          <w:numId w:val="0"/>
        </w:numPr>
        <w:ind w:left="567" w:hanging="567"/>
      </w:pPr>
      <w:r>
        <w:t>References</w:t>
      </w:r>
    </w:p>
    <w:p w14:paraId="6699CA16" w14:textId="268A3DA4" w:rsidR="00D05099" w:rsidRDefault="00D05099" w:rsidP="00D05099">
      <w:pPr>
        <w:pStyle w:val="referenceitem"/>
      </w:pPr>
      <w:r>
        <w:t>Markowitz, Harry. “Portfolio Selection.” *Journal of Finance*, 1952.</w:t>
      </w:r>
    </w:p>
    <w:p w14:paraId="34EA970B" w14:textId="0F228C4B" w:rsidR="00D05099" w:rsidRDefault="00D05099" w:rsidP="00D05099">
      <w:pPr>
        <w:pStyle w:val="referenceitem"/>
      </w:pPr>
      <w:r>
        <w:t>Black, Fischer, and Robert Litterman. “Global Portfolio Optimization.” *Financial Analysts Journal*, 1992.</w:t>
      </w:r>
    </w:p>
    <w:p w14:paraId="26B14DCD" w14:textId="125D0A20" w:rsidR="00D05099" w:rsidRDefault="00D05099" w:rsidP="00D05099">
      <w:pPr>
        <w:pStyle w:val="referenceitem"/>
      </w:pPr>
      <w:r>
        <w:t>Michaud, Richard. “The Markowitz Optimization Enigma.” *Financial Analysts Journal*, 1989.</w:t>
      </w:r>
    </w:p>
    <w:p w14:paraId="7B026BEA" w14:textId="40D5E62A" w:rsidR="00D05099" w:rsidRDefault="00D05099" w:rsidP="00D05099">
      <w:pPr>
        <w:pStyle w:val="referenceitem"/>
      </w:pPr>
      <w:proofErr w:type="spellStart"/>
      <w:r>
        <w:t>Ledoit</w:t>
      </w:r>
      <w:proofErr w:type="spellEnd"/>
      <w:r>
        <w:t>, Olivier, and Michael Wolf. “Honey, I Shrunk the Sample Covariance Matrix.” *Journal of Portfolio Management*, 2004.</w:t>
      </w:r>
    </w:p>
    <w:p w14:paraId="26F2E3EC" w14:textId="2F2654D6" w:rsidR="00D05099" w:rsidRDefault="00D05099" w:rsidP="00D05099">
      <w:pPr>
        <w:pStyle w:val="referenceitem"/>
      </w:pPr>
      <w:r>
        <w:t>Maillard, et al. “Equally Weighted Risk Contribution Portfolios.” *Journal of Portfolio Management*, 2010.</w:t>
      </w:r>
    </w:p>
    <w:p w14:paraId="21527C79" w14:textId="3242DAA9" w:rsidR="00D05099" w:rsidRDefault="00D05099" w:rsidP="00D05099">
      <w:pPr>
        <w:pStyle w:val="referenceitem"/>
      </w:pPr>
      <w:proofErr w:type="spellStart"/>
      <w:r>
        <w:t>Rockafellar</w:t>
      </w:r>
      <w:proofErr w:type="spellEnd"/>
      <w:r>
        <w:t xml:space="preserve"> &amp; </w:t>
      </w:r>
      <w:proofErr w:type="spellStart"/>
      <w:r>
        <w:t>Uryasev</w:t>
      </w:r>
      <w:proofErr w:type="spellEnd"/>
      <w:r>
        <w:t>. “Optimization of Conditional Value-at-Risk.” *Journal of Risk*, 2000.</w:t>
      </w:r>
    </w:p>
    <w:p w14:paraId="747DF9B5" w14:textId="58DB7D3F" w:rsidR="00D05099" w:rsidRDefault="00D05099" w:rsidP="00D05099">
      <w:pPr>
        <w:pStyle w:val="referenceitem"/>
      </w:pPr>
      <w:proofErr w:type="spellStart"/>
      <w:r>
        <w:t>Krokhmal</w:t>
      </w:r>
      <w:proofErr w:type="spellEnd"/>
      <w:r>
        <w:t>, Pavlo, et al. “Conditional Value-at-Risk for General Loss Distributions.” *Journal of Banking &amp; Finance*, 2002.</w:t>
      </w:r>
    </w:p>
    <w:p w14:paraId="6E4A6AA7" w14:textId="4FF1979B" w:rsidR="00D05099" w:rsidRDefault="00D05099" w:rsidP="00D05099">
      <w:pPr>
        <w:pStyle w:val="referenceitem"/>
      </w:pPr>
      <w:r>
        <w:t>Lloyd, Seth, et al. “Quantum Principal Component Analysis.” *Nature Physics*, 2014.</w:t>
      </w:r>
    </w:p>
    <w:p w14:paraId="37EA7ADC" w14:textId="7C211C2F" w:rsidR="00D05099" w:rsidRDefault="00D05099" w:rsidP="00D05099">
      <w:pPr>
        <w:pStyle w:val="referenceitem"/>
      </w:pPr>
      <w:r>
        <w:t>He, et al. “Low Complexity Quantum PCA Algorithm.” *</w:t>
      </w:r>
      <w:proofErr w:type="spellStart"/>
      <w:r>
        <w:t>arXiv</w:t>
      </w:r>
      <w:proofErr w:type="spellEnd"/>
      <w:r>
        <w:t>*, 2020.</w:t>
      </w:r>
    </w:p>
    <w:p w14:paraId="3FC273C1" w14:textId="23D44CD7" w:rsidR="00D05099" w:rsidRDefault="00D05099" w:rsidP="00D05099">
      <w:pPr>
        <w:pStyle w:val="referenceitem"/>
      </w:pPr>
      <w:r>
        <w:t>“Quantum Risk Analysis.” IBM Research, 2019.</w:t>
      </w:r>
    </w:p>
    <w:p w14:paraId="21DF8FF4" w14:textId="3F5F5826" w:rsidR="00D05099" w:rsidRDefault="00D05099" w:rsidP="00D05099">
      <w:pPr>
        <w:pStyle w:val="referenceitem"/>
      </w:pPr>
      <w:r>
        <w:t>“Quantum Risk Analysis: Beyond (Conditional) Value-at-Risk.” *</w:t>
      </w:r>
      <w:proofErr w:type="spellStart"/>
      <w:r>
        <w:t>arXiv</w:t>
      </w:r>
      <w:proofErr w:type="spellEnd"/>
      <w:r>
        <w:t>*, 2022.</w:t>
      </w:r>
    </w:p>
    <w:p w14:paraId="18A23924" w14:textId="1D8BA405" w:rsidR="00D05099" w:rsidRDefault="00D05099" w:rsidP="00D05099">
      <w:pPr>
        <w:pStyle w:val="referenceitem"/>
      </w:pPr>
      <w:r>
        <w:t>Stamatopoulos, et al. “Quantum Risk Analysis of Financial Derivatives.” *</w:t>
      </w:r>
      <w:proofErr w:type="spellStart"/>
      <w:r>
        <w:t>arXiv</w:t>
      </w:r>
      <w:proofErr w:type="spellEnd"/>
      <w:r>
        <w:t>*, 2024.</w:t>
      </w:r>
    </w:p>
    <w:p w14:paraId="2276E815" w14:textId="5920E16E" w:rsidR="00D05099" w:rsidRDefault="00D05099" w:rsidP="00D05099">
      <w:pPr>
        <w:pStyle w:val="referenceitem"/>
      </w:pPr>
      <w:r>
        <w:t>“Quantum Computing for Financial Risk Measurement.” *SpringerLink*, 2022.</w:t>
      </w:r>
    </w:p>
    <w:p w14:paraId="03301242" w14:textId="17B3B68F" w:rsidR="00D05099" w:rsidRDefault="00D05099" w:rsidP="00D05099">
      <w:pPr>
        <w:pStyle w:val="referenceitem"/>
      </w:pPr>
      <w:r>
        <w:t>“Parametric Method in Value at Risk (</w:t>
      </w:r>
      <w:proofErr w:type="spellStart"/>
      <w:r>
        <w:t>VaR</w:t>
      </w:r>
      <w:proofErr w:type="spellEnd"/>
      <w:r>
        <w:t>).” *Investopedia*, 2024.</w:t>
      </w:r>
    </w:p>
    <w:p w14:paraId="66390E6B" w14:textId="744AF5D5" w:rsidR="00D05099" w:rsidRDefault="00D05099" w:rsidP="00D05099">
      <w:pPr>
        <w:pStyle w:val="referenceitem"/>
      </w:pPr>
      <w:proofErr w:type="spellStart"/>
      <w:r>
        <w:t>Füss</w:t>
      </w:r>
      <w:proofErr w:type="spellEnd"/>
      <w:r>
        <w:t>, et al. “Value-at-Risk, GARCH Modelling &amp; Forecasting.” *SpringerLink*.</w:t>
      </w:r>
    </w:p>
    <w:p w14:paraId="35EB11AA" w14:textId="1BE754EE" w:rsidR="00D05099" w:rsidRDefault="00D05099" w:rsidP="00D05099">
      <w:pPr>
        <w:pStyle w:val="referenceitem"/>
      </w:pPr>
      <w:r>
        <w:t>Laube, et al. “Efficiency of Risk Measures for Hedge Funds.” *SpringerLink*, 2011.</w:t>
      </w:r>
    </w:p>
    <w:p w14:paraId="44B6E969" w14:textId="0071705D" w:rsidR="00D05099" w:rsidRDefault="00D05099" w:rsidP="00D05099">
      <w:pPr>
        <w:pStyle w:val="referenceitem"/>
      </w:pPr>
      <w:r>
        <w:t>Venturelli, et al. “Quantum Optimization for Finance with QUBO Mappings.” *Frontiers in Physics*, 2019.</w:t>
      </w:r>
    </w:p>
    <w:p w14:paraId="38252BA0" w14:textId="3E558E03" w:rsidR="00D05099" w:rsidRDefault="00D05099" w:rsidP="00D05099">
      <w:pPr>
        <w:pStyle w:val="referenceitem"/>
      </w:pPr>
      <w:r>
        <w:t xml:space="preserve">“Portfolio Optimization – </w:t>
      </w:r>
      <w:proofErr w:type="spellStart"/>
      <w:r>
        <w:t>Qiskit</w:t>
      </w:r>
      <w:proofErr w:type="spellEnd"/>
      <w:r>
        <w:t xml:space="preserve"> Finance.” </w:t>
      </w:r>
      <w:proofErr w:type="spellStart"/>
      <w:r>
        <w:t>Qiskit</w:t>
      </w:r>
      <w:proofErr w:type="spellEnd"/>
      <w:r>
        <w:t xml:space="preserve"> Community GitHub.</w:t>
      </w:r>
    </w:p>
    <w:p w14:paraId="3B51B69D" w14:textId="5F1D357E" w:rsidR="00DC71CD" w:rsidRPr="00C8652E" w:rsidRDefault="00D05099" w:rsidP="00D05099">
      <w:pPr>
        <w:pStyle w:val="referenceitem"/>
      </w:pPr>
      <w:r>
        <w:lastRenderedPageBreak/>
        <w:t>Rizzato, et al. “GANs for Synthetic Financial Scenarios.” 2022.</w:t>
      </w:r>
    </w:p>
    <w:sectPr w:rsidR="00DC71CD" w:rsidRPr="00C8652E" w:rsidSect="00DC71CD">
      <w:headerReference w:type="even" r:id="rId7"/>
      <w:headerReference w:type="default" r:id="rId8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6E812D5" w14:textId="77777777" w:rsidR="006077BF" w:rsidRDefault="006077BF">
      <w:pPr>
        <w:spacing w:line="240" w:lineRule="auto"/>
      </w:pPr>
      <w:r>
        <w:separator/>
      </w:r>
    </w:p>
  </w:endnote>
  <w:endnote w:type="continuationSeparator" w:id="0">
    <w:p w14:paraId="0ED7ABDD" w14:textId="77777777" w:rsidR="006077BF" w:rsidRDefault="006077B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auto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D213850" w14:textId="77777777" w:rsidR="006077BF" w:rsidRDefault="006077BF" w:rsidP="00080DE2">
      <w:pPr>
        <w:spacing w:line="240" w:lineRule="auto"/>
        <w:ind w:firstLine="0"/>
      </w:pPr>
      <w:r>
        <w:separator/>
      </w:r>
    </w:p>
  </w:footnote>
  <w:footnote w:type="continuationSeparator" w:id="0">
    <w:p w14:paraId="6FC52CD4" w14:textId="77777777" w:rsidR="006077BF" w:rsidRPr="00080DE2" w:rsidRDefault="006077BF" w:rsidP="00080DE2">
      <w:pPr>
        <w:spacing w:line="240" w:lineRule="auto"/>
        <w:ind w:firstLine="0"/>
      </w:pPr>
      <w:r>
        <w: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C7BF9C" w14:textId="77777777" w:rsidR="00206921" w:rsidRDefault="00206921" w:rsidP="001012B2">
    <w:pPr>
      <w:ind w:firstLine="0"/>
    </w:pPr>
    <w:r>
      <w:fldChar w:fldCharType="begin"/>
    </w:r>
    <w:r>
      <w:instrText>PAGE   \* MERGEFORMAT</w:instrText>
    </w:r>
    <w:r>
      <w:fldChar w:fldCharType="separate"/>
    </w:r>
    <w:r w:rsidRPr="00F435E6">
      <w:rPr>
        <w:noProof/>
        <w:lang w:val="de-DE"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B3A3FB6" w14:textId="20D2AD34" w:rsidR="00206921" w:rsidRDefault="00206921" w:rsidP="00451D8E">
    <w:pPr>
      <w:jc w:val="right"/>
    </w:pPr>
    <w:r>
      <w:fldChar w:fldCharType="begin"/>
    </w:r>
    <w:r>
      <w:instrText>PAGE   \* MERGEFORMAT</w:instrText>
    </w:r>
    <w:r>
      <w:fldChar w:fldCharType="separate"/>
    </w:r>
    <w:r w:rsidRPr="003803D8">
      <w:rPr>
        <w:noProof/>
        <w:lang w:val="de-DE"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 w16cid:durableId="880704634">
    <w:abstractNumId w:val="0"/>
  </w:num>
  <w:num w:numId="2" w16cid:durableId="1544560233">
    <w:abstractNumId w:val="0"/>
  </w:num>
  <w:num w:numId="3" w16cid:durableId="908154184">
    <w:abstractNumId w:val="1"/>
  </w:num>
  <w:num w:numId="4" w16cid:durableId="903024668">
    <w:abstractNumId w:val="1"/>
  </w:num>
  <w:num w:numId="5" w16cid:durableId="1448768177">
    <w:abstractNumId w:val="3"/>
  </w:num>
  <w:num w:numId="6" w16cid:durableId="165557281">
    <w:abstractNumId w:val="3"/>
  </w:num>
  <w:num w:numId="7" w16cid:durableId="1952206864">
    <w:abstractNumId w:val="2"/>
  </w:num>
  <w:num w:numId="8" w16cid:durableId="838428627">
    <w:abstractNumId w:val="4"/>
  </w:num>
  <w:num w:numId="9" w16cid:durableId="1386635888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9"/>
  <w:proofState w:spelling="clean" w:grammar="clean"/>
  <w:defaultTabStop w:val="720"/>
  <w:autoHyphenation/>
  <w:hyphenationZone w:val="400"/>
  <w:doNotHyphenateCaps/>
  <w:evenAndOddHeaders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E1E6F"/>
    <w:rsid w:val="00075F19"/>
    <w:rsid w:val="000A250F"/>
    <w:rsid w:val="00136025"/>
    <w:rsid w:val="0020293A"/>
    <w:rsid w:val="00206921"/>
    <w:rsid w:val="002C648B"/>
    <w:rsid w:val="003102E2"/>
    <w:rsid w:val="004251F8"/>
    <w:rsid w:val="00492D19"/>
    <w:rsid w:val="006077BF"/>
    <w:rsid w:val="00763C6F"/>
    <w:rsid w:val="00771C93"/>
    <w:rsid w:val="00774AA9"/>
    <w:rsid w:val="007E1E6F"/>
    <w:rsid w:val="008760F9"/>
    <w:rsid w:val="008C1D5E"/>
    <w:rsid w:val="008C4528"/>
    <w:rsid w:val="008E71F0"/>
    <w:rsid w:val="009043BE"/>
    <w:rsid w:val="00991EF5"/>
    <w:rsid w:val="009949A3"/>
    <w:rsid w:val="009B7024"/>
    <w:rsid w:val="00C027F8"/>
    <w:rsid w:val="00C8652E"/>
    <w:rsid w:val="00D05099"/>
    <w:rsid w:val="00DC71CD"/>
    <w:rsid w:val="00E37C1E"/>
    <w:rsid w:val="00FD2D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2A294D7B"/>
  <w14:defaultImageDpi w14:val="32767"/>
  <w15:docId w15:val="{FFFFF82B-A1D2-465B-82CE-BF2A1CA965C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/>
    <w:lsdException w:name="heading 8" w:semiHidden="1"/>
    <w:lsdException w:name="heading 9" w:semiHidden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/>
    <w:lsdException w:name="toc 2" w:semiHidden="1"/>
    <w:lsdException w:name="toc 3" w:semiHidden="1"/>
    <w:lsdException w:name="toc 4" w:semiHidden="1"/>
    <w:lsdException w:name="toc 5" w:semiHidden="1"/>
    <w:lsdException w:name="toc 6" w:semiHidden="1"/>
    <w:lsdException w:name="toc 7" w:semiHidden="1"/>
    <w:lsdException w:name="toc 8" w:semiHidden="1"/>
    <w:lsdException w:name="toc 9" w:semiHidden="1"/>
    <w:lsdException w:name="Normal Indent" w:semiHidden="1"/>
    <w:lsdException w:name="footnote text" w:semiHidden="1"/>
    <w:lsdException w:name="annotation text" w:semiHidden="1"/>
    <w:lsdException w:name="header" w:semiHidden="1"/>
    <w:lsdException w:name="footer" w:semiHidden="1"/>
    <w:lsdException w:name="index heading" w:semiHidden="1"/>
    <w:lsdException w:name="caption" w:semiHidden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/>
    <w:lsdException w:name="Closing" w:semiHidden="1"/>
    <w:lsdException w:name="Signature" w:semiHidden="1"/>
    <w:lsdException w:name="Default Paragraph Font" w:semiHidden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semiHidden="1"/>
    <w:lsdException w:name="Emphasis" w:semiHidden="1"/>
    <w:lsdException w:name="Document Map" w:semiHidden="1"/>
    <w:lsdException w:name="Plain Text" w:semiHidden="1"/>
    <w:lsdException w:name="E-mail Signature" w:semiHidden="1"/>
    <w:lsdException w:name="HTML Top of Form" w:semiHidden="1"/>
    <w:lsdException w:name="HTML Bottom of Form" w:semiHidden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/>
    <w:lsdException w:name="Outline List 1" w:semiHidden="1"/>
    <w:lsdException w:name="Outline List 2" w:semiHidden="1"/>
    <w:lsdException w:name="Outline List 3" w:semiHidden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semiHidden="1"/>
    <w:lsdException w:name="Quote" w:semiHidden="1"/>
    <w:lsdException w:name="Intense Quote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semiHidden="1"/>
    <w:lsdException w:name="Intense Emphasis" w:semiHidden="1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FigCaption" Type="http://schemas.openxmlformats.org/officeDocument/2006/relationships/image" Target="images/FigCaption.png"/><Relationship Id="papertitle" Type="http://schemas.openxmlformats.org/officeDocument/2006/relationships/image" Target="images/papertitle.png"/><Relationship Id="ORCID" Type="http://schemas.openxmlformats.org/officeDocument/2006/relationships/image" Target="images/ORCID.png"/><Relationship Id="removespace" Type="http://schemas.openxmlformats.org/officeDocument/2006/relationships/image" Target="images/removespace.png"/><Relationship Id="bulletitem" Type="http://schemas.openxmlformats.org/officeDocument/2006/relationships/image" Target="images/bulletitem.png"/><Relationship Id="arrowleft" Type="http://schemas.openxmlformats.org/officeDocument/2006/relationships/image" Target="images/arrowleft.png"/><Relationship Id="addspace" Type="http://schemas.openxmlformats.org/officeDocument/2006/relationships/image" Target="images/addspace.png"/><Relationship Id="togglenumbering" Type="http://schemas.openxmlformats.org/officeDocument/2006/relationships/image" Target="images/togglenumbering.png"/><Relationship Id="referenceitem" Type="http://schemas.openxmlformats.org/officeDocument/2006/relationships/image" Target="images/referenceitem.png"/><Relationship Id="eqnumber" Type="http://schemas.openxmlformats.org/officeDocument/2006/relationships/image" Target="images/eqnumber.png"/><Relationship Id="normalspace" Type="http://schemas.openxmlformats.org/officeDocument/2006/relationships/image" Target="images/normalspace.png"/><Relationship Id="RedoStyles" Type="http://schemas.openxmlformats.org/officeDocument/2006/relationships/image" Target="images/RedoStyles.png"/><Relationship Id="arrowright" Type="http://schemas.openxmlformats.org/officeDocument/2006/relationships/image" Target="images/arrowright.png"/><Relationship Id="abstract" Type="http://schemas.openxmlformats.org/officeDocument/2006/relationships/image" Target="images/abstract.png"/><Relationship Id="TabCaption" Type="http://schemas.openxmlformats.org/officeDocument/2006/relationships/image" Target="images/TabCaption.png"/><Relationship Id="equation" Type="http://schemas.openxmlformats.org/officeDocument/2006/relationships/image" Target="images/equation.png"/><Relationship Id="normal" Type="http://schemas.openxmlformats.org/officeDocument/2006/relationships/image" Target="images/normal.png"/><Relationship Id="squeeze" Type="http://schemas.openxmlformats.org/officeDocument/2006/relationships/image" Target="images/squeeze.png"/><Relationship Id="InsertImage" Type="http://schemas.openxmlformats.org/officeDocument/2006/relationships/image" Target="images/InsertImage.png"/><Relationship Id="expand" Type="http://schemas.openxmlformats.org/officeDocument/2006/relationships/image" Target="images/expand.png"/><Relationship Id="InsertImage24" Type="http://schemas.openxmlformats.org/officeDocument/2006/relationships/image" Target="images/InsertImage24.png"/><Relationship Id="TabCaption24" Type="http://schemas.openxmlformats.org/officeDocument/2006/relationships/image" Target="images/TabCaption24.png"/><Relationship Id="FigCaption24" Type="http://schemas.openxmlformats.org/officeDocument/2006/relationships/image" Target="images/FigCaption24.png"/><Relationship Id="numitem" Type="http://schemas.openxmlformats.org/officeDocument/2006/relationships/image" Target="images/numitem.png"/><Relationship Id="papersubtitle" Type="http://schemas.openxmlformats.org/officeDocument/2006/relationships/image" Target="images/subtitle.png"/><Relationship Id="dashitem" Type="http://schemas.openxmlformats.org/officeDocument/2006/relationships/image" Target="images/dashitem.png"/><Relationship Id="address" Type="http://schemas.openxmlformats.org/officeDocument/2006/relationships/image" Target="images/address.png"/><Relationship Id="HeaderFooter" Type="http://schemas.openxmlformats.org/officeDocument/2006/relationships/image" Target="images/HeaderFooter.png"/><Relationship Id="author" Type="http://schemas.openxmlformats.org/officeDocument/2006/relationships/image" Target="images/author.png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the selected text as paper title"/>
          <button id="btnSubtitle" label="Subtitle" image="papersubtitle" size="large" onAction="MakeSubtitle" screentip="Format the selected text as paper subtitle (optional)"/>
          <button id="btnAuthor" label="Author" image="author" size="large" onAction="MakeAuthor" screentip="Format the selected text as paper author(s)"/>
          <box id="box1" boxStyle="vertical">
            <button id="btnORCID" label="ORCID" image="ORCID" size="normal" onAction="MakeORCID" screentip="Format the selected text as ORCID id" supertip="Please note that ORCID ids will not be printed. In the online version they will be replaced by icons that are linked to the related ORCID pages."/>
          </box>
          <box id="box11">
            <button id="btnAddress" label="Address" image="address" size="normal" onAction="MakeAddress" screentip="Format the selected text as affiliation (including e-mail address, URL)"/>
          </box>
          <box id="box12">
            <button id="btnEmail" label="E-mail" imageMso="EnvelopesAndLabelsDialog" size="normal" onAction="MakeEMail" screentip="Format the selected text as e-mail address or URL (apply typewriter style)"/>
          </box>
          <button id="btnAbstract" label="Abstract" image="abstract" size="large" onAction="MakeAbstract" screentip="Format the selected text as abstract" supertip="If not present, the word 'Abstract' is added at the beginning of the first paragraph."/>
          <button id="btnKeywords" label="Keywords" imageMso="ReviewTrackChanges" size="large" onAction="MakeKeywords" screentip="Format the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the selected text as heading (level 1)"/>
          <button id="btnH2" label="H2" imageMso="PivotTableLayoutShowInCompactForm" size="large" onAction="H2" screentip="Format the selected text as heading (level 2)"/>
          <button id="btnH3" label="H3" imageMso="PivotTableLayoutBlankRows" size="large" onAction="H3" screentip="Format the selected text as an unnumbered heading (level 3)"/>
          <button id="btnH4" label="H4" imageMso="PivotTableLayoutSubtotals" size="large" onAction="H4" screentip="Format the selected text as an unnumbered heading (level 4)"/>
          <box id="box2" boxStyle="vertical">
            <button id="btnBullet" label="Bullet Item" image="bulletitem" onAction="MakeBulletItem" screentip="Format the selected text as bullet item(s)" supertip="Please note that bullets are the default for unnumbered lists in Springer proceedings."/>
          </box>
          <box id="box21" boxStyle="vertical">
            <button id="btnDash" label="Dash Item" image="dashitem" onAction="MakeDashItem" screentip="Format the selected text as dash item(s)" supertip="Please note that bullets are the default for unnumbered lists in Springer proceedings."/>
          </box>
          <box id="box22" boxStyle="vertical">
            <button id="btnNumbered" label="Num Item" image="numitem" onAction="MakeNumItem" screentip="Format the selected text as numbered item(s)"/>
          </box>
          <box id="box3" boxStyle="horizont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</box>
          <box id="box31" boxStyle="vertical"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</box>
          <box id="box23" boxStyle="vertical"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>
            <button id="btnAddSpace" label="Add Space" image="addspace" onAction="AddVerticalSpace" screentip="Add 6 pt (2.1 mm) of vertical space before the selected paragraph."/>
          </box>
          <box id="box41">
            <button id="btnClearSpace" label="Clear Space" image="removespace" onAction="ClearVerticalSpace" screentip="Clear any vertical space before and after the selected text"/>
          </box>
          <box id="box42">
            <button id="btnFootnote" label="Footnote" imageMso="FootnoteInsert" onAction="InsertFN" screentip="Add a footnote"/>
          </box>
          <button id="btnReference" label="Reference Item" image="referenceitem" size="large" onAction="MakeRefItem" screentip="Format the selected text as reference item"/>
        </group>
        <group id="grSpecialFormats" label="Figures, Tables, Equations" autoScale="true">
          <box id="box5" boxStyle="horizontal">
            <button id="btnInsImage" label="Insert Image    " image="InsertImage24" onAction="InsertImage" screentip="Insert an image"/>
            <button id="btnTable" label="Table Caption" image="TabCaption24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</box>
          <box id="box51" boxStyle="horizontal">
            <button id="btnFigure" label="Figure Caption" image="FigCaption24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  <gallery idMso="TableInsertGallery" label="Insert Table"/>
          </box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50</TotalTime>
  <Pages>5</Pages>
  <Words>1144</Words>
  <Characters>6503</Characters>
  <Application>Microsoft Office Word</Application>
  <DocSecurity>0</DocSecurity>
  <Lines>166</Lines>
  <Paragraphs>141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7506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cp:lastModifiedBy>Atharv Munot</cp:lastModifiedBy>
  <cp:revision>9</cp:revision>
  <dcterms:created xsi:type="dcterms:W3CDTF">2017-02-16T22:29:00Z</dcterms:created>
  <dcterms:modified xsi:type="dcterms:W3CDTF">2025-12-10T03:57:00Z</dcterms:modified>
</cp:coreProperties>
</file>