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666666"/>
          <w:sz w:val="20"/>
          <w:szCs w:val="20"/>
        </w:rPr>
        <w:t xml:space="preserve">CS595 Medical Informatics and AI</w:t>
      </w:r>
    </w:p>
    <w:p>
      <w:pPr>
        <w:spacing w:after="120"/>
      </w:pPr>
      <w:r>
        <w:rPr>
          <w:rFonts w:ascii="Arial" w:cs="Arial" w:eastAsia="Arial" w:hAnsi="Arial"/>
          <w:color w:val="666666"/>
          <w:sz w:val="20"/>
          <w:szCs w:val="20"/>
        </w:rPr>
        <w:t xml:space="preserve">Project Proposal Review</w:t>
      </w:r>
    </w:p>
    <w:p>
      <w:pPr>
        <w:pStyle w:val="Heading1"/>
      </w:pPr>
      <w:r>
        <w:rPr>
          <w:rFonts w:ascii="Arial" w:cs="Arial" w:eastAsia="Arial" w:hAnsi="Arial"/>
          <w:b/>
          <w:bCs/>
          <w:color w:val="1F3864"/>
          <w:sz w:val="40"/>
          <w:szCs w:val="40"/>
        </w:rPr>
        <w:t xml:space="preserve">The Machiavellians</w:t>
      </w:r>
    </w:p>
    <w:p>
      <w:pPr>
        <w:spacing w:after="60"/>
      </w:pPr>
      <w:r>
        <w:rPr>
          <w:rFonts w:ascii="Arial" w:cs="Arial" w:eastAsia="Arial" w:hAnsi="Arial"/>
          <w:b/>
          <w:bCs/>
          <w:color w:val="2E75B6"/>
          <w:sz w:val="26"/>
          <w:szCs w:val="26"/>
        </w:rPr>
        <w:t xml:space="preserve">AI-Powered Post-Discharge Follow-Up Agent</w:t>
      </w:r>
    </w:p>
    <w:p>
      <w:pPr>
        <w:pBdr>
          <w:bottom w:val="single" w:color="2E75B6" w:sz="6" w:space="1"/>
        </w:pBdr>
        <w:spacing w:after="240"/>
      </w:pPr>
      <w:r>
        <w:rPr>
          <w:rFonts w:ascii="Arial" w:cs="Arial" w:eastAsia="Arial" w:hAnsi="Arial"/>
          <w:i/>
          <w:iCs/>
          <w:color w:val="888888"/>
          <w:sz w:val="18"/>
          <w:szCs w:val="18"/>
        </w:rPr>
        <w:t xml:space="preserve">Instructor Feedback — Spring 2026</w:t>
      </w:r>
    </w:p>
    <w:p>
      <w:pPr>
        <w:pStyle w:val="Heading2"/>
      </w:pPr>
      <w:r>
        <w:rPr>
          <w:rFonts w:ascii="Arial" w:cs="Arial" w:eastAsia="Arial" w:hAnsi="Arial"/>
          <w:b/>
          <w:bCs/>
          <w:color w:val="2E75B6"/>
          <w:sz w:val="26"/>
          <w:szCs w:val="26"/>
        </w:rPr>
        <w:t xml:space="preserve">1) Summary</w:t>
      </w:r>
    </w:p>
    <w:p>
      <w:pPr>
        <w:spacing w:after="120"/>
      </w:pPr>
      <w:r>
        <w:rPr>
          <w:rFonts w:ascii="Arial" w:cs="Arial" w:eastAsia="Arial" w:hAnsi="Arial"/>
          <w:color w:val="333333"/>
          <w:sz w:val="22"/>
          <w:szCs w:val="22"/>
        </w:rPr>
        <w:t xml:space="preserve">The Machiavellians propose an AI-powered post-discharge follow-up system that automates patient check-ins after hospital discharge. The system parses simulated FHIR discharge summaries, uses an LLM-based agent (via LangGraph) to generate personalized follow-up questions and medication reminders based on discharge instructions, delivers them to patients via SMS, analyzes patient responses to detect high-risk situations, and escalates concerning responses to a simulated care coordinator dashboard. SQLite is used for conversation state storage. The multi-agent LangGraph workflow coordinates message generation, response analysis, and risk detection.</w:t>
      </w:r>
    </w:p>
    <w:p>
      <w:pPr>
        <w:pStyle w:val="Heading2"/>
      </w:pPr>
      <w:r>
        <w:rPr>
          <w:rFonts w:ascii="Arial" w:cs="Arial" w:eastAsia="Arial" w:hAnsi="Arial"/>
          <w:b/>
          <w:bCs/>
          <w:color w:val="2E75B6"/>
          <w:sz w:val="26"/>
          <w:szCs w:val="26"/>
        </w:rPr>
        <w:t xml:space="preserve">2) Instructor Assessment</w:t>
      </w:r>
    </w:p>
    <w:p>
      <w:pPr>
        <w:spacing w:after="120"/>
      </w:pPr>
      <w:r>
        <w:rPr>
          <w:rFonts w:ascii="Arial" w:cs="Arial" w:eastAsia="Arial" w:hAnsi="Arial"/>
          <w:color w:val="333333"/>
          <w:sz w:val="22"/>
          <w:szCs w:val="22"/>
        </w:rPr>
        <w:t xml:space="preserve">This is a well-focused and appropriately scoped proposal. The problem — preventable readmissions due to inadequate post-discharge follow-up — is real and well-documented (20% 30-day readmission rate), the target user (recently discharged patient + care coordinator) is clear, and the scope correctly excludes live EHR integration, real PHI, and autonomous clinical decision-making. The LangGraph multi-agent workflow is technically appropriate for the described coordination task.</w:t>
      </w:r>
    </w:p>
    <w:p>
      <w:pPr>
        <w:spacing w:after="120"/>
      </w:pPr>
      <w:r>
        <w:rPr>
          <w:rFonts w:ascii="Arial" w:cs="Arial" w:eastAsia="Arial" w:hAnsi="Arial"/>
          <w:color w:val="333333"/>
          <w:sz w:val="22"/>
          <w:szCs w:val="22"/>
        </w:rPr>
        <w:t xml:space="preserve">The proposal is notably brief — three pages with limited technical detail on architecture, technology stack, sprint planning, functional requirements, and evaluation framework. These gaps need to be filled before implementation can proceed in an organized way. The concept is solid; the proposal needs development to become a full implementation plan.</w:t>
      </w:r>
    </w:p>
    <w:p>
      <w:pPr>
        <w:pStyle w:val="Heading2"/>
      </w:pPr>
      <w:r>
        <w:rPr>
          <w:rFonts w:ascii="Arial" w:cs="Arial" w:eastAsia="Arial" w:hAnsi="Arial"/>
          <w:b/>
          <w:bCs/>
          <w:color w:val="2E75B6"/>
          <w:sz w:val="26"/>
          <w:szCs w:val="26"/>
        </w:rPr>
        <w:t xml:space="preserve">3) Likely Challenges</w:t>
      </w:r>
    </w:p>
    <w:p>
      <w:pPr>
        <w:pStyle w:val="ListParagraph"/>
        <w:numPr>
          <w:ilvl w:val="0"/>
          <w:numId w:val="2"/>
        </w:numPr>
        <w:spacing w:after="60"/>
      </w:pPr>
      <w:r>
        <w:rPr>
          <w:rFonts w:ascii="Arial" w:cs="Arial" w:eastAsia="Arial" w:hAnsi="Arial"/>
          <w:color w:val="333333"/>
          <w:sz w:val="22"/>
          <w:szCs w:val="22"/>
        </w:rPr>
        <w:t xml:space="preserve">SMS delivery integration: Sending actual SMS messages requires a third-party service (Twilio, AWS SNS). This involves API integration, test number setup, and rate limiting management. For a course demo, simulating SMS delivery in the web interface may be simpler and more reliable.</w:t>
      </w:r>
    </w:p>
    <w:p>
      <w:pPr>
        <w:pStyle w:val="ListParagraph"/>
        <w:numPr>
          <w:ilvl w:val="0"/>
          <w:numId w:val="2"/>
        </w:numPr>
        <w:spacing w:after="60"/>
      </w:pPr>
      <w:r>
        <w:rPr>
          <w:rFonts w:ascii="Arial" w:cs="Arial" w:eastAsia="Arial" w:hAnsi="Arial"/>
          <w:color w:val="333333"/>
          <w:sz w:val="22"/>
          <w:szCs w:val="22"/>
        </w:rPr>
        <w:t xml:space="preserve">FHIR discharge summary parsing: Parsing simulated FHIR resources (Patient, MedicationRequest, DocumentReference) requires correctly handling FHIR R4 JSON structures. The team needs to define the specific FHIR resources used and test parsing against representative synthetic examples.</w:t>
      </w:r>
    </w:p>
    <w:p>
      <w:pPr>
        <w:pStyle w:val="ListParagraph"/>
        <w:numPr>
          <w:ilvl w:val="0"/>
          <w:numId w:val="2"/>
        </w:numPr>
        <w:spacing w:after="60"/>
      </w:pPr>
      <w:r>
        <w:rPr>
          <w:rFonts w:ascii="Arial" w:cs="Arial" w:eastAsia="Arial" w:hAnsi="Arial"/>
          <w:color w:val="333333"/>
          <w:sz w:val="22"/>
          <w:szCs w:val="22"/>
        </w:rPr>
        <w:t xml:space="preserve">LangGraph multi-agent workflow: LangGraph is a relatively new and less-documented framework compared to LangChain. If any team members are new to it, plan for a learning curve in Weeks 1–2.</w:t>
      </w:r>
    </w:p>
    <w:p>
      <w:pPr>
        <w:pStyle w:val="ListParagraph"/>
        <w:numPr>
          <w:ilvl w:val="0"/>
          <w:numId w:val="2"/>
        </w:numPr>
        <w:spacing w:after="60"/>
      </w:pPr>
      <w:r>
        <w:rPr>
          <w:rFonts w:ascii="Arial" w:cs="Arial" w:eastAsia="Arial" w:hAnsi="Arial"/>
          <w:color w:val="333333"/>
          <w:sz w:val="22"/>
          <w:szCs w:val="22"/>
        </w:rPr>
        <w:t xml:space="preserve">Risk detection quality: Detecting high-risk responses (worsening symptoms) from patient SMS replies requires careful NLP design. Patient messages are often brief, ambiguous, and informally written. Defining a conservative risk detection threshold is important to avoid both over-escalation and under-detection.</w:t>
      </w:r>
    </w:p>
    <w:p>
      <w:pPr>
        <w:pStyle w:val="ListParagraph"/>
        <w:numPr>
          <w:ilvl w:val="0"/>
          <w:numId w:val="2"/>
        </w:numPr>
        <w:spacing w:after="60"/>
      </w:pPr>
      <w:r>
        <w:rPr>
          <w:rFonts w:ascii="Arial" w:cs="Arial" w:eastAsia="Arial" w:hAnsi="Arial"/>
          <w:color w:val="333333"/>
          <w:sz w:val="22"/>
          <w:szCs w:val="22"/>
        </w:rPr>
        <w:t xml:space="preserve">Incomplete proposal sections: The proposal lacks a sprint plan, detailed functional requirements, technology stack documentation, and evaluation criteria. These need to be completed before serious implementation begins.</w:t>
      </w:r>
    </w:p>
    <w:p>
      <w:pPr>
        <w:pStyle w:val="ListParagraph"/>
        <w:numPr>
          <w:ilvl w:val="0"/>
          <w:numId w:val="2"/>
        </w:numPr>
        <w:spacing w:after="60"/>
      </w:pPr>
      <w:r>
        <w:rPr>
          <w:rFonts w:ascii="Arial" w:cs="Arial" w:eastAsia="Arial" w:hAnsi="Arial"/>
          <w:color w:val="333333"/>
          <w:sz w:val="22"/>
          <w:szCs w:val="22"/>
        </w:rPr>
        <w:t xml:space="preserve">Evaluation framework: How will the system's performance be measured? Defining test cases (simulated FHIR discharge summaries with known content, simulated patient responses with known risk levels) and measuring message relevance and risk detection accuracy should be planned explicitly.</w:t>
      </w:r>
    </w:p>
    <w:p>
      <w:pPr>
        <w:pStyle w:val="Heading2"/>
      </w:pPr>
      <w:r>
        <w:rPr>
          <w:rFonts w:ascii="Arial" w:cs="Arial" w:eastAsia="Arial" w:hAnsi="Arial"/>
          <w:b/>
          <w:bCs/>
          <w:color w:val="2E75B6"/>
          <w:sz w:val="26"/>
          <w:szCs w:val="26"/>
        </w:rPr>
        <w:t xml:space="preserve">4) Suggestions for Improvement</w:t>
      </w:r>
    </w:p>
    <w:p>
      <w:pPr>
        <w:pStyle w:val="ListParagraph"/>
        <w:numPr>
          <w:ilvl w:val="0"/>
          <w:numId w:val="2"/>
        </w:numPr>
        <w:spacing w:after="60"/>
      </w:pPr>
      <w:r>
        <w:rPr>
          <w:rFonts w:ascii="Arial" w:cs="Arial" w:eastAsia="Arial" w:hAnsi="Arial"/>
          <w:color w:val="333333"/>
          <w:sz w:val="22"/>
          <w:szCs w:val="22"/>
        </w:rPr>
        <w:t xml:space="preserve">Simulate SMS in the web UI rather than integrating Twilio for the MVP. Show the patient-facing SMS conversation in a simulated mobile message view in the browser. Add Twilio integration as a stretch goal once the core pipeline works.</w:t>
      </w:r>
    </w:p>
    <w:p>
      <w:pPr>
        <w:pStyle w:val="ListParagraph"/>
        <w:numPr>
          <w:ilvl w:val="0"/>
          <w:numId w:val="2"/>
        </w:numPr>
        <w:spacing w:after="60"/>
      </w:pPr>
      <w:r>
        <w:rPr>
          <w:rFonts w:ascii="Arial" w:cs="Arial" w:eastAsia="Arial" w:hAnsi="Arial"/>
          <w:color w:val="333333"/>
          <w:sz w:val="22"/>
          <w:szCs w:val="22"/>
        </w:rPr>
        <w:t xml:space="preserve">Define 10–15 synthetic FHIR discharge summary test cases covering three to five discharge conditions (heart failure, hip replacement, COPD, diabetes management). These become both development fixtures and evaluation data.</w:t>
      </w:r>
    </w:p>
    <w:p>
      <w:pPr>
        <w:pStyle w:val="ListParagraph"/>
        <w:numPr>
          <w:ilvl w:val="0"/>
          <w:numId w:val="2"/>
        </w:numPr>
        <w:spacing w:after="60"/>
      </w:pPr>
      <w:r>
        <w:rPr>
          <w:rFonts w:ascii="Arial" w:cs="Arial" w:eastAsia="Arial" w:hAnsi="Arial"/>
          <w:color w:val="333333"/>
          <w:sz w:val="22"/>
          <w:szCs w:val="22"/>
        </w:rPr>
        <w:t xml:space="preserve">Build the LangGraph workflow incrementally: start with a simple LangChain chain before adding LangGraph state management. Make sure the core message generation and response analysis functions work correctly before adding the graph orchestration layer.</w:t>
      </w:r>
    </w:p>
    <w:p>
      <w:pPr>
        <w:pStyle w:val="ListParagraph"/>
        <w:numPr>
          <w:ilvl w:val="0"/>
          <w:numId w:val="2"/>
        </w:numPr>
        <w:spacing w:after="60"/>
      </w:pPr>
      <w:r>
        <w:rPr>
          <w:rFonts w:ascii="Arial" w:cs="Arial" w:eastAsia="Arial" w:hAnsi="Arial"/>
          <w:color w:val="333333"/>
          <w:sz w:val="22"/>
          <w:szCs w:val="22"/>
        </w:rPr>
        <w:t xml:space="preserve">Define a risk detection rubric: what patient response patterns trigger escalation? Document these rules explicitly, test them against 20–30 synthetic patient messages, and report detection accuracy in the final evaluation.</w:t>
      </w:r>
    </w:p>
    <w:p>
      <w:pPr>
        <w:pStyle w:val="ListParagraph"/>
        <w:numPr>
          <w:ilvl w:val="0"/>
          <w:numId w:val="2"/>
        </w:numPr>
        <w:spacing w:after="60"/>
      </w:pPr>
      <w:r>
        <w:rPr>
          <w:rFonts w:ascii="Arial" w:cs="Arial" w:eastAsia="Arial" w:hAnsi="Arial"/>
          <w:color w:val="333333"/>
          <w:sz w:val="22"/>
          <w:szCs w:val="22"/>
        </w:rPr>
        <w:t xml:space="preserve">Complete the full proposal template this week. Without a sprint plan, functional requirements, and evaluation framework, the team cannot make organized implementation decisions.</w:t>
      </w:r>
    </w:p>
    <w:p>
      <w:pPr>
        <w:pStyle w:val="Heading2"/>
      </w:pPr>
      <w:r>
        <w:rPr>
          <w:rFonts w:ascii="Arial" w:cs="Arial" w:eastAsia="Arial" w:hAnsi="Arial"/>
          <w:b/>
          <w:bCs/>
          <w:color w:val="2E75B6"/>
          <w:sz w:val="26"/>
          <w:szCs w:val="26"/>
        </w:rPr>
        <w:t xml:space="preserve">5) Six-Week Feasibility</w:t>
      </w:r>
    </w:p>
    <w:p>
      <w:pPr>
        <w:spacing w:after="120"/>
      </w:pPr>
      <w:r>
        <w:rPr>
          <w:rFonts w:ascii="Arial" w:cs="Arial" w:eastAsia="Arial" w:hAnsi="Arial"/>
          <w:b/>
          <w:bCs/>
          <w:color w:val="1F3864"/>
          <w:sz w:val="22"/>
          <w:szCs w:val="22"/>
        </w:rPr>
        <w:t xml:space="preserve">Verdict: </w:t>
      </w:r>
      <w:r>
        <w:rPr>
          <w:rFonts w:ascii="Arial" w:cs="Arial" w:eastAsia="Arial" w:hAnsi="Arial"/>
          <w:color w:val="333333"/>
          <w:sz w:val="22"/>
          <w:szCs w:val="22"/>
        </w:rPr>
        <w:t xml:space="preserve">Feasible in 6 weeks with scope reduction</w:t>
      </w:r>
    </w:p>
    <w:p>
      <w:pPr>
        <w:spacing w:after="120"/>
      </w:pPr>
      <w:r>
        <w:rPr>
          <w:rFonts w:ascii="Arial" w:cs="Arial" w:eastAsia="Arial" w:hAnsi="Arial"/>
          <w:color w:val="333333"/>
          <w:sz w:val="22"/>
          <w:szCs w:val="22"/>
        </w:rPr>
        <w:t xml:space="preserve">The core concept — FHIR parsing, LLM-generated follow-up messages, response analysis, and escalation to a care coordinator dashboard — is technically straightforward and achievable in six weeks. The individual components (LangGraph agents, FHIR JSON parsing, SQLite state management, a web dashboard) are all well-established and well-documented.</w:t>
      </w:r>
    </w:p>
    <w:p>
      <w:pPr>
        <w:spacing w:after="120"/>
      </w:pPr>
      <w:r>
        <w:rPr>
          <w:rFonts w:ascii="Arial" w:cs="Arial" w:eastAsia="Arial" w:hAnsi="Arial"/>
          <w:color w:val="333333"/>
          <w:sz w:val="22"/>
          <w:szCs w:val="22"/>
        </w:rPr>
        <w:t xml:space="preserve">The key scope reduction is replacing live SMS delivery with simulated SMS in the web interface. This removes a third-party integration dependency that adds complexity without changing the core contribution. With that reduction and a complete sprint plan, this is a feasible project. The main risk is the incomplete proposal stage — the team needs to finish planning before coding.</w:t>
      </w:r>
    </w:p>
    <w:p>
      <w:pPr>
        <w:pStyle w:val="Heading2"/>
      </w:pPr>
      <w:r>
        <w:rPr>
          <w:rFonts w:ascii="Arial" w:cs="Arial" w:eastAsia="Arial" w:hAnsi="Arial"/>
          <w:b/>
          <w:bCs/>
          <w:color w:val="2E75B6"/>
          <w:sz w:val="26"/>
          <w:szCs w:val="26"/>
        </w:rPr>
        <w:t xml:space="preserve">6) Recommended MVP for the Remaining 6 Weeks</w:t>
      </w:r>
    </w:p>
    <w:p>
      <w:pPr>
        <w:spacing w:after="120"/>
      </w:pPr>
      <w:r>
        <w:rPr>
          <w:rFonts w:ascii="Arial" w:cs="Arial" w:eastAsia="Arial" w:hAnsi="Arial"/>
          <w:color w:val="333333"/>
          <w:sz w:val="22"/>
          <w:szCs w:val="22"/>
        </w:rPr>
        <w:t xml:space="preserve">A realistic MVP: (1) FHIR discharge summary parsing (Patient, MedicationRequest, DocumentReference resources from 10 synthetic JSON test cases); (2) LLM-generated personalized follow-up questions calibrated to discharge diagnosis and medications; (3) simulated SMS conversation view in the web UI (no Twilio required for demo); (4) response analysis agent with risk detection scoring (defined thresholds, documented logic); (5) escalation to a care coordinator dashboard for high-risk responses; (6) SQLite conversation state storage; and (7) evaluation against 20 synthetic patient response scenarios with known expected risk levels. Twilio SMS integration is a stretch goal.</w:t>
      </w:r>
    </w:p>
    <w:p>
      <w:pPr>
        <w:pStyle w:val="Heading2"/>
      </w:pPr>
      <w:r>
        <w:rPr>
          <w:rFonts w:ascii="Arial" w:cs="Arial" w:eastAsia="Arial" w:hAnsi="Arial"/>
          <w:b/>
          <w:bCs/>
          <w:color w:val="2E75B6"/>
          <w:sz w:val="26"/>
          <w:szCs w:val="26"/>
        </w:rPr>
        <w:t xml:space="preserve">7) Market Research and Product Feasibility</w:t>
      </w:r>
    </w:p>
    <w:p>
      <w:pPr>
        <w:spacing w:after="120"/>
      </w:pPr>
      <w:r>
        <w:rPr>
          <w:rFonts w:ascii="Arial" w:cs="Arial" w:eastAsia="Arial" w:hAnsi="Arial"/>
          <w:color w:val="333333"/>
          <w:sz w:val="22"/>
          <w:szCs w:val="22"/>
        </w:rPr>
        <w:t xml:space="preserve">Post-discharge automated follow-up is an established and commercially active market. Conversa Health, Twistle (acquired by Health Catalyst), Navigating Cancer, Klara, and several EHR-native messaging tools (Epic CareEverywhere, MyChart messaging) all offer forms of automated post-discharge communication. CMS's Transitional Care Management (TCM) billing codes create financial incentives for health systems to conduct post-discharge follow-up, which has driven investment in this space.</w:t>
      </w:r>
    </w:p>
    <w:p>
      <w:pPr>
        <w:spacing w:after="120"/>
      </w:pPr>
      <w:r>
        <w:rPr>
          <w:rFonts w:ascii="Arial" w:cs="Arial" w:eastAsia="Arial" w:hAnsi="Arial"/>
          <w:color w:val="333333"/>
          <w:sz w:val="22"/>
          <w:szCs w:val="22"/>
        </w:rPr>
        <w:t xml:space="preserve">The differentiation in the Machiavellians' proposal is the LangGraph multi-agent architecture that personalizes follow-up to the specific discharge content (versus generic question templates) and the FHIR-native parsing approach. However, existing commercial tools also use AI-driven personalization, and several have clinical trial evidence demonstrating readmission reduction. The FHIR-native approach is technically sound but requires EHR integration in production, which is a well-known barrier.</w:t>
      </w:r>
    </w:p>
    <w:p>
      <w:pPr>
        <w:spacing w:after="120"/>
      </w:pPr>
      <w:r>
        <w:rPr>
          <w:rFonts w:ascii="Arial" w:cs="Arial" w:eastAsia="Arial" w:hAnsi="Arial"/>
          <w:color w:val="333333"/>
          <w:sz w:val="22"/>
          <w:szCs w:val="22"/>
        </w:rPr>
        <w:t xml:space="preserve">As a course project, the multi-agent FHIR workflow is a legitimate research and demonstration contribution. As a commercial product, the market is active and the differentiation relative to established players would need to be carefully defined. A specific focus on a particular patient population (e.g., post-surgical or heart failure patients) with demonstrated personalization quality would be more compelling than a general follow-up tool.</w:t>
      </w:r>
    </w:p>
    <w:p>
      <w:pPr>
        <w:spacing w:after="120"/>
      </w:pPr>
      <w:r>
        <w:rPr>
          <w:rFonts w:ascii="Arial" w:cs="Arial" w:eastAsia="Arial" w:hAnsi="Arial"/>
          <w:b/>
          <w:bCs/>
          <w:color w:val="1F3864"/>
          <w:sz w:val="22"/>
          <w:szCs w:val="22"/>
        </w:rPr>
        <w:t xml:space="preserve">Product Potential Rating: </w:t>
      </w:r>
      <w:r>
        <w:rPr>
          <w:rFonts w:ascii="Arial" w:cs="Arial" w:eastAsia="Arial" w:hAnsi="Arial"/>
          <w:color w:val="333333"/>
          <w:sz w:val="22"/>
          <w:szCs w:val="22"/>
        </w:rPr>
        <w:t xml:space="preserve">Limited potential as currently framed given market competition, but the FHIR-native multi-agent architecture is a credible technical foundation for a more differentiated clinical workflow tool.</w:t>
      </w:r>
    </w:p>
    <w:p>
      <w:pPr>
        <w:pStyle w:val="Heading2"/>
      </w:pPr>
      <w:r>
        <w:rPr>
          <w:rFonts w:ascii="Arial" w:cs="Arial" w:eastAsia="Arial" w:hAnsi="Arial"/>
          <w:b/>
          <w:bCs/>
          <w:color w:val="2E75B6"/>
          <w:sz w:val="26"/>
          <w:szCs w:val="26"/>
        </w:rPr>
        <w:t xml:space="preserve">8) Product Potential Rating</w:t>
      </w:r>
    </w:p>
    <w:p>
      <w:pPr>
        <w:spacing w:after="120"/>
      </w:pPr>
      <w:r>
        <w:rPr>
          <w:rFonts w:ascii="Arial" w:cs="Arial" w:eastAsia="Arial" w:hAnsi="Arial"/>
          <w:b/>
          <w:bCs/>
          <w:color w:val="1F3864"/>
          <w:sz w:val="22"/>
          <w:szCs w:val="22"/>
        </w:rPr>
        <w:t xml:space="preserve">Rating: </w:t>
      </w:r>
      <w:r>
        <w:rPr>
          <w:rFonts w:ascii="Arial" w:cs="Arial" w:eastAsia="Arial" w:hAnsi="Arial"/>
          <w:color w:val="333333"/>
          <w:sz w:val="22"/>
          <w:szCs w:val="22"/>
        </w:rPr>
        <w:t xml:space="preserve">Limited potential</w:t>
      </w:r>
    </w:p>
    <w:p>
      <w:pPr>
        <w:spacing w:after="120"/>
      </w:pPr>
      <w:r>
        <w:rPr>
          <w:rFonts w:ascii="Arial" w:cs="Arial" w:eastAsia="Arial" w:hAnsi="Arial"/>
          <w:color w:val="333333"/>
          <w:sz w:val="22"/>
          <w:szCs w:val="22"/>
        </w:rPr>
        <w:t xml:space="preserve">The market is active and populated with established vendors and evidence-based tools. The FHIR-native, LLM-personalized approach is technically sound but requires more differentiation and clinical validation evidence to compete with established post-discharge follow-up platforms. Strong as a course project; limited as a standalone commercial concept without further specialization.</w:t>
      </w:r>
    </w:p>
    <w:p>
      <w:pPr>
        <w:pStyle w:val="Heading2"/>
      </w:pPr>
      <w:r>
        <w:rPr>
          <w:rFonts w:ascii="Arial" w:cs="Arial" w:eastAsia="Arial" w:hAnsi="Arial"/>
          <w:b/>
          <w:bCs/>
          <w:color w:val="2E75B6"/>
          <w:sz w:val="26"/>
          <w:szCs w:val="26"/>
        </w:rPr>
        <w:t xml:space="preserve">9) Instructor Comments to the Team</w:t>
      </w:r>
    </w:p>
    <w:p>
      <w:pPr>
        <w:spacing w:after="120"/>
      </w:pPr>
      <w:r>
        <w:rPr>
          <w:rFonts w:ascii="Arial" w:cs="Arial" w:eastAsia="Arial" w:hAnsi="Arial"/>
          <w:color w:val="333333"/>
          <w:sz w:val="22"/>
          <w:szCs w:val="22"/>
        </w:rPr>
        <w:t xml:space="preserve">The problem you are addressing is real and clinically important, and the LangGraph multi-agent approach is a technically interesting way to structure the follow-up workflow. The concept is well-targeted and the exclusions (live EHR, real PHI, autonomous diagnosis) are appropriately conservative. My most urgent recommendation: complete the full proposal template this week. You are missing a sprint plan, functional requirements, technology stack documentation, and an evaluation framework — without these, you cannot start organized implementation. Once the plan is in place, simulate SMS delivery in the browser rather than integrating Twilio; this removes a dependency that will cost you time without changing what matters about the demo. Define your risk detection thresholds explicitly and test them — the escalation logic is the most safety-critical part of the system and should be tested against realistic patient message scenarios, not just happy-path inputs. A clean, well-tested system that reliably generates relevant follow-up questions and correctly escalates high-risk responses is a strong course deliverable.</w:t>
      </w:r>
    </w:p>
    <w:p>
      <w:pPr>
        <w:pBdr>
          <w:top w:val="single" w:color="CCCCCC" w:sz="4" w:space="1"/>
        </w:pBdr>
        <w:spacing w:before="360"/>
      </w:pPr>
      <w:r>
        <w:rPr>
          <w:rFonts w:ascii="Arial" w:cs="Arial" w:eastAsia="Arial" w:hAnsi="Arial"/>
          <w:i/>
          <w:iCs/>
          <w:color w:val="999999"/>
          <w:sz w:val="16"/>
          <w:szCs w:val="16"/>
        </w:rPr>
        <w:t xml:space="preserve">CS595 Medical Informatics and AI — Instructor Review —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2026-03-16T14:45:09.781Z</dcterms:created>
  <dcterms:modified xsi:type="dcterms:W3CDTF">2026-03-16T14:45:09.782Z</dcterms:modified>
</cp:coreProperties>
</file>

<file path=docProps/custom.xml><?xml version="1.0" encoding="utf-8"?>
<Properties xmlns="http://schemas.openxmlformats.org/officeDocument/2006/custom-properties" xmlns:vt="http://schemas.openxmlformats.org/officeDocument/2006/docPropsVTypes"/>
</file>