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HIGHWAY SURVEILLANCE &amp; TRAFFIC MONITORING TENDER</w:t>
      </w:r>
    </w:p>
    <w:p>
      <w:r>
        <w:t>Tender Ref: SH-TRAFFIC-2026-RFP-081</w:t>
        <w:br/>
        <w:t>Authority: National Infrastructure Corporation</w:t>
        <w:br/>
      </w:r>
    </w:p>
    <w:p>
      <w:pPr>
        <w:pStyle w:val="Heading2"/>
      </w:pPr>
      <w:r>
        <w:t>SECTION 1: BIDDER ELIGIBILITY</w:t>
      </w:r>
    </w:p>
    <w:p>
      <w:r>
        <w:t>1.1 Prior Experience: The bidder must have at least 6 years of experience in deploying IoT and surveillance camera hardware.</w:t>
      </w:r>
    </w:p>
    <w:p>
      <w:r>
        <w:t>1.2 Turnover: Minimum average annual turnover of 25 crores in the preceding three fiscal years.</w:t>
      </w:r>
    </w:p>
    <w:p>
      <w:r>
        <w:t>1.3 EMD: Earnest Money Deposit of 10,00,000 must be deposited.</w:t>
      </w:r>
    </w:p>
    <w:p>
      <w:pPr>
        <w:pStyle w:val="Heading2"/>
      </w:pPr>
      <w:r>
        <w:t>SECTION 2: QUALITY CERTIFICATIONS &amp; TECHNICAL CRITERIA</w:t>
      </w:r>
    </w:p>
    <w:p>
      <w:r>
        <w:t>2.1 Mandatory Certifications: The vendor must possess ISO 9001 and ISO 14001 environmental compliance certification.</w:t>
      </w:r>
    </w:p>
    <w:p>
      <w:r>
        <w:t>2.2 Video Analytics: System must deliver real-time vehicle speed calculation and automated number plate recognition (ANPR) with at least 95% accuracy.</w:t>
      </w:r>
    </w:p>
    <w:p>
      <w:r>
        <w:t>2.3 Uptime SLA: Availability of 99.5% continuous streaming uptime.</w:t>
      </w:r>
    </w:p>
    <w:p>
      <w:pPr>
        <w:pStyle w:val="Heading2"/>
      </w:pPr>
      <w:r>
        <w:t>SECTION 3: TIMELINES &amp; PENALTIES</w:t>
      </w:r>
    </w:p>
    <w:p>
      <w:r>
        <w:t>3.1 Delivery Timeline: The completion period shall be within 8 months.</w:t>
      </w:r>
    </w:p>
    <w:p>
      <w:r>
        <w:t>3.2 Liquidated Damages: A penalty of 0.5% per week of delay will be assessed up to 10% maximum.</w:t>
      </w:r>
    </w:p>
    <w:p>
      <w:r>
        <w:t>3.3 Performance Security: Performance Bank Guarantee of 5% is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