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1leaobsitbl" w:id="0"/>
      <w:bookmarkEnd w:id="0"/>
      <w:r w:rsidDel="00000000" w:rsidR="00000000" w:rsidRPr="00000000">
        <w:rPr>
          <w:b w:val="1"/>
          <w:bCs w:val="1"/>
          <w:sz w:val="34"/>
          <w:szCs w:val="34"/>
          <w:rtl w:val="0"/>
        </w:rPr>
        <w:t xml:space="preserve">AI vs independent research verification table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1823393677"/>
        <w:gridCol w:w="1531.5193757879965"/>
        <w:gridCol w:w="1913.2630777648262"/>
        <w:gridCol w:w="1136.1419701691368"/>
        <w:gridCol w:w="1831.4608559126486"/>
        <w:gridCol w:w="1217.9441920213146"/>
        <w:tblGridChange w:id="0">
          <w:tblGrid>
            <w:gridCol w:w="1395.1823393677"/>
            <w:gridCol w:w="1531.5193757879965"/>
            <w:gridCol w:w="1913.2630777648262"/>
            <w:gridCol w:w="1136.1419701691368"/>
            <w:gridCol w:w="1831.4608559126486"/>
            <w:gridCol w:w="1217.9441920213146"/>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Topic or claim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b w:val="1"/>
                <w:bCs w:val="1"/>
              </w:rPr>
            </w:pPr>
            <w:r w:rsidDel="00000000" w:rsidR="00000000" w:rsidRPr="00000000">
              <w:rPr>
                <w:b w:val="1"/>
                <w:bCs w:val="1"/>
                <w:rtl w:val="0"/>
              </w:rPr>
              <w:t xml:space="preserve">AI-generated roadmap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b w:val="1"/>
                <w:bCs w:val="1"/>
              </w:rPr>
            </w:pPr>
            <w:r w:rsidDel="00000000" w:rsidR="00000000" w:rsidRPr="00000000">
              <w:rPr>
                <w:b w:val="1"/>
                <w:bCs w:val="1"/>
                <w:rtl w:val="0"/>
              </w:rPr>
              <w:t xml:space="preserve">Independently verified 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jc w:val="center"/>
              <w:rPr>
                <w:b w:val="1"/>
                <w:bCs w:val="1"/>
              </w:rPr>
            </w:pPr>
            <w:r w:rsidDel="00000000" w:rsidR="00000000" w:rsidRPr="00000000">
              <w:rPr>
                <w:b w:val="1"/>
                <w:bCs w:val="1"/>
                <w:rtl w:val="0"/>
              </w:rPr>
              <w:t xml:space="preserve">Match / mismatch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jc w:val="center"/>
              <w:rPr>
                <w:b w:val="1"/>
                <w:bCs w:val="1"/>
              </w:rPr>
            </w:pPr>
            <w:r w:rsidDel="00000000" w:rsidR="00000000" w:rsidRPr="00000000">
              <w:rPr>
                <w:b w:val="1"/>
                <w:bCs w:val="1"/>
                <w:rtl w:val="0"/>
              </w:rPr>
              <w:t xml:space="preserve">Correction 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jc w:val="center"/>
              <w:rPr>
                <w:b w:val="1"/>
                <w:bCs w:val="1"/>
              </w:rPr>
            </w:pPr>
            <w:r w:rsidDel="00000000" w:rsidR="00000000" w:rsidRPr="00000000">
              <w:rPr>
                <w:b w:val="1"/>
                <w:bCs w:val="1"/>
                <w:rtl w:val="0"/>
              </w:rPr>
              <w:t xml:space="preserve">Final decision</w:t>
            </w:r>
          </w:p>
        </w:tc>
      </w:tr>
      <w:tr>
        <w:trPr>
          <w:cantSplit w:val="0"/>
          <w:trHeight w:val="2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Weeks 1–2: Spreadsheets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Learn spreadsheet basics and PivotTables.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Microsoft's official guide explains how PivotTables summarize and analyze worksheet data.</w:t>
            </w:r>
            <w:hyperlink r:id="rId6">
              <w:r w:rsidDel="00000000" w:rsidR="00000000" w:rsidRPr="00000000">
                <w:rPr>
                  <w:rtl w:val="0"/>
                </w:rPr>
                <w:t xml:space="preserve"> </w:t>
              </w:r>
            </w:hyperlink>
            <w:hyperlink r:id="rId7">
              <w:r w:rsidDel="00000000" w:rsidR="00000000" w:rsidRPr="00000000">
                <w:rPr>
                  <w:color w:val="1155cc"/>
                  <w:u w:val="single"/>
                  <w:rtl w:val="0"/>
                </w:rPr>
                <w:t xml:space="preserve">Microsoft PivotTable guide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Include sorting, filtering, formulas, and basic charts before PivotTables.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Keep</w:t>
            </w:r>
          </w:p>
        </w:tc>
      </w:tr>
      <w:tr>
        <w:trPr>
          <w:cantSplit w:val="0"/>
          <w:trHeight w:val="26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pPr>
            <w:r w:rsidDel="00000000" w:rsidR="00000000" w:rsidRPr="00000000">
              <w:rPr>
                <w:rtl w:val="0"/>
              </w:rPr>
              <w:t xml:space="preserve">Weeks 3–4: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Learn SQL fundamentals, grouping, and joins using SQLBolt.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SQLBolt provides interactive browser-based SQL lessons and exercises.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SQLBolt lessons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Add practice with </w:t>
            </w:r>
            <w:r w:rsidDel="00000000" w:rsidR="00000000" w:rsidRPr="00000000">
              <w:rPr>
                <w:rFonts w:ascii="Roboto Mono" w:cs="Roboto Mono" w:eastAsia="Roboto Mono" w:hAnsi="Roboto Mono"/>
                <w:color w:val="188038"/>
                <w:rtl w:val="0"/>
              </w:rPr>
              <w:t xml:space="preserve">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WHERE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GROUP BY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Explain tables and columns first.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Keep</w:t>
            </w:r>
          </w:p>
        </w:tc>
      </w:tr>
      <w:tr>
        <w:trPr>
          <w:cantSplit w:val="0"/>
          <w:trHeight w:val="4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Week 5: Python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Learn Python through Kaggle Learn.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Kaggle offers a Python course covering syntax, variables, functions, conditions, lists, loops, and other fundamentals. Its course page states that Kaggle Learn courses are free.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Kaggle Python course</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Start with programming fundamentals before moving to 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Keep</w:t>
            </w:r>
          </w:p>
        </w:tc>
      </w:tr>
      <w:tr>
        <w:trPr>
          <w:cantSplit w:val="0"/>
          <w:trHeight w:val="3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Week 6: Pandas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Learn data manipulation using Pandas tutorials.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The official Pandas getting-started documentation covers tabular data, reading files, DataFrames, and data processing.</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Pandas getting started</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Allow time to install or access Python and practise with CSV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Keep</w:t>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Week 7: Data cleaning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Handle missing values, duplicates, and inconsistent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The official Pandas resources support learning tabular-data operations and processing.</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Pandas tutorials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Partial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Add explicit exercises for missing values, duplicates, data types, and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Keep and expand</w:t>
            </w:r>
          </w:p>
        </w:tc>
      </w:tr>
      <w:tr>
        <w:trPr>
          <w:cantSplit w:val="0"/>
          <w:trHeight w:val="3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Week 8: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Learn basic statistics using Khan Academy.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tl w:val="0"/>
              </w:rPr>
              <w:t xml:space="preserve">Khan Academy's Statistics and Probability course includes data analysis, distributions, study design, probability, and statistical inference.</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Statistics and Probability</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Focus first on mean, median, spread, distributions, and correlation; leave advanced inference for later.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tl w:val="0"/>
              </w:rPr>
              <w:t xml:space="preserve">Keep</w:t>
            </w:r>
          </w:p>
        </w:tc>
      </w:tr>
      <w:tr>
        <w:trPr>
          <w:cantSplit w:val="0"/>
          <w:trHeight w:val="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Week 9: Visualization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Learn Matplotlib and Seaborn.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tl w:val="0"/>
              </w:rPr>
              <w:t xml:space="preserve">Matplotlib provides official tutorials for creating and customizing plots.</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Matplotlib tutorials</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Partial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Use the official</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Seaborn tutorial</w:t>
              </w:r>
            </w:hyperlink>
            <w:r w:rsidDel="00000000" w:rsidR="00000000" w:rsidRPr="00000000">
              <w:rPr>
                <w:rtl w:val="0"/>
              </w:rPr>
              <w:t xml:space="preserve"> alongside Matplotlib. Practise bar charts, histograms, scatterplots, and clear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tl w:val="0"/>
              </w:rPr>
              <w:t xml:space="preserve">Keep and expand</w:t>
            </w:r>
          </w:p>
        </w:tc>
      </w:tr>
      <w:tr>
        <w:trPr>
          <w:cantSplit w:val="0"/>
          <w:trHeight w:val="3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pPr>
            <w:r w:rsidDel="00000000" w:rsidR="00000000" w:rsidRPr="00000000">
              <w:rPr>
                <w:rtl w:val="0"/>
              </w:rPr>
              <w:t xml:space="preserve">Week 10: Dashboard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rPr/>
            </w:pPr>
            <w:r w:rsidDel="00000000" w:rsidR="00000000" w:rsidRPr="00000000">
              <w:rPr>
                <w:rtl w:val="0"/>
              </w:rPr>
              <w:t xml:space="preserve">Build a dashboard using Power BI.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rPr/>
            </w:pPr>
            <w:r w:rsidDel="00000000" w:rsidR="00000000" w:rsidRPr="00000000">
              <w:rPr>
                <w:rtl w:val="0"/>
              </w:rPr>
              <w:t xml:space="preserve">Microsoft Learn offers a beginner Power BI module with no prerequisites, plus a learning path for preparing and visualizing data.</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Microsoft Learn Power BI training</w:t>
              </w:r>
            </w:hyperlink>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pPr>
            <w:r w:rsidDel="00000000" w:rsidR="00000000" w:rsidRPr="00000000">
              <w:rPr>
                <w:rtl w:val="0"/>
              </w:rPr>
              <w:t xml:space="preserve">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rPr/>
            </w:pPr>
            <w:r w:rsidDel="00000000" w:rsidR="00000000" w:rsidRPr="00000000">
              <w:rPr>
                <w:rtl w:val="0"/>
              </w:rPr>
              <w:t xml:space="preserve">Choose a beginner module and check the software and account requirements before starting.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Keep</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Weeks 11–12: Portfolio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Analyze retail sales and prepare a final portfolio 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tl w:val="0"/>
              </w:rPr>
              <w:t xml:space="preserve">The listed learning resources teach relevant individual skills, but they do not independently prove that the proposed retail-sales project will be completed in two weeks.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Partial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Choose a dataset early, reuse it throughout the roadmap, and reserve time for cleaning, analysis, visuals, conclusions, and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Keep with realistic scope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Total duration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tl w:val="0"/>
              </w:rPr>
              <w:t xml:space="preserve">12 weeks at 5–7 hours per week.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The schedule provides 60–84 hours in total. This is a calculation, not a guarantee of learning outcomes.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Plausible, unverified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Track actual study time and simplify or extend tasks when necessary.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Keep as a target</w:t>
            </w:r>
          </w:p>
        </w:tc>
      </w:tr>
      <w:tr>
        <w:trPr>
          <w:cantSplit w:val="0"/>
          <w:trHeight w:val="4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Cost and accessibility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Prefer free learning resources.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Kaggle Learn describes its courses as free. The listed official documentation and learning pages are accessible online, but access to software, accounts, certificates, and every feature may vary.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Partial match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Label each resource separately as free learning material, paid software, optional paid certificate, or access requirement only after checking its current terms.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Verify before submission</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drawing>
          <wp:inline distB="114300" distT="114300" distL="114300" distR="114300">
            <wp:extent cx="5731200" cy="2286000"/>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numPr>
          <w:ilvl w:val="0"/>
          <w:numId w:val="1"/>
        </w:numPr>
        <w:spacing w:after="240" w:before="240" w:lineRule="auto"/>
        <w:ind w:left="720" w:hanging="360"/>
      </w:pPr>
      <w:r w:rsidDel="00000000" w:rsidR="00000000" w:rsidRPr="00000000">
        <w:rPr>
          <w:rtl w:val="0"/>
        </w:rPr>
        <w:t xml:space="preserve">the entire roadmap is fully validated, that every resource is free in every respect, or that completing it guarantees employment.</w:t>
      </w:r>
    </w:p>
    <w:p w:rsidR="00000000" w:rsidDel="00000000" w:rsidP="00000000" w:rsidRDefault="00000000" w:rsidRPr="00000000" w14:paraId="0000004F">
      <w:pPr>
        <w:spacing w:after="240" w:before="240" w:lineRule="auto"/>
        <w:ind w:left="0" w:firstLine="0"/>
        <w:rPr/>
      </w:pPr>
      <w:r w:rsidDel="00000000" w:rsidR="00000000" w:rsidRPr="00000000">
        <w:rPr/>
        <w:drawing>
          <wp:inline distB="114300" distT="114300" distL="114300" distR="114300">
            <wp:extent cx="5731200" cy="4762500"/>
            <wp:effectExtent b="0" l="0" r="0" t="0"/>
            <wp:docPr id="2" name="image1.png"/>
            <a:graphic>
              <a:graphicData uri="http://schemas.openxmlformats.org/drawingml/2006/picture">
                <pic:pic>
                  <pic:nvPicPr>
                    <pic:cNvPr id="0" name="image1.png"/>
                    <pic:cNvPicPr preferRelativeResize="0"/>
                  </pic:nvPicPr>
                  <pic:blipFill>
                    <a:blip r:embed="rId25"/>
                    <a:srcRect b="0" l="0" r="0" t="0"/>
                    <a:stretch>
                      <a:fillRect/>
                    </a:stretch>
                  </pic:blipFill>
                  <pic:spPr>
                    <a:xfrm>
                      <a:off x="0" y="0"/>
                      <a:ext cx="57312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3"/>
        <w:spacing w:after="240" w:before="240" w:lineRule="auto"/>
        <w:rPr/>
      </w:pPr>
      <w:bookmarkStart w:colFirst="0" w:colLast="0" w:name="_17dexrqoyp5c" w:id="1"/>
      <w:bookmarkEnd w:id="1"/>
      <w:r w:rsidDel="00000000" w:rsidR="00000000" w:rsidRPr="00000000">
        <w:rPr/>
        <w:drawing>
          <wp:inline distB="114300" distT="114300" distL="114300" distR="114300">
            <wp:extent cx="5731200" cy="2298700"/>
            <wp:effectExtent b="0" l="0" r="0" t="0"/>
            <wp:docPr id="1"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pStyle w:val="Heading3"/>
        <w:spacing w:after="240" w:before="240" w:lineRule="auto"/>
        <w:rPr>
          <w:sz w:val="22"/>
          <w:szCs w:val="22"/>
        </w:rPr>
      </w:pPr>
      <w:bookmarkStart w:colFirst="0" w:colLast="0" w:name="_8rcte0qqn5nw" w:id="2"/>
      <w:bookmarkEnd w:id="2"/>
      <w:r w:rsidDel="00000000" w:rsidR="00000000" w:rsidRPr="00000000">
        <w:rPr>
          <w:rtl w:val="0"/>
        </w:rPr>
        <w:t xml:space="preserve">Conclusion: </w:t>
      </w:r>
      <w:r w:rsidDel="00000000" w:rsidR="00000000" w:rsidRPr="00000000">
        <w:rPr>
          <w:sz w:val="22"/>
          <w:szCs w:val="22"/>
          <w:rtl w:val="0"/>
        </w:rPr>
        <w:t xml:space="preserve">The AI-generated roadmap is a reasonable starting plan. Independent research supports the relevance of its main learning resources, while the project milestones and actual learning outcomes still need to be tested. Record those limitations in your verification table to demonstrate responsible use of AI.</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seaborn.pydata.org/tutorial.html?utm_source=chatgpt.com" TargetMode="External"/><Relationship Id="rId22" Type="http://schemas.openxmlformats.org/officeDocument/2006/relationships/hyperlink" Target="https://learn.microsoft.com/en-us/training/powerplatform/power-bi/?utm_source=chatgpt.com" TargetMode="External"/><Relationship Id="rId21" Type="http://schemas.openxmlformats.org/officeDocument/2006/relationships/hyperlink" Target="https://seaborn.pydata.org/tutorial.html?utm_source=chatgpt.com" TargetMode="External"/><Relationship Id="rId24" Type="http://schemas.openxmlformats.org/officeDocument/2006/relationships/image" Target="media/image2.png"/><Relationship Id="rId23" Type="http://schemas.openxmlformats.org/officeDocument/2006/relationships/hyperlink" Target="https://learn.microsoft.com/en-us/training/powerplatform/power-bi/?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qlbolt.com/?utm_source=chatgpt.com" TargetMode="External"/><Relationship Id="rId26" Type="http://schemas.openxmlformats.org/officeDocument/2006/relationships/image" Target="media/image3.png"/><Relationship Id="rId25"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support.microsoft.com/en-US/Excel/get-started/create-a-pivottable-to-analyze-worksheet-data?utm_source=chatgpt.com" TargetMode="External"/><Relationship Id="rId7" Type="http://schemas.openxmlformats.org/officeDocument/2006/relationships/hyperlink" Target="https://support.microsoft.com/en-US/Excel/get-started/create-a-pivottable-to-analyze-worksheet-data?utm_source=chatgpt.com" TargetMode="External"/><Relationship Id="rId8" Type="http://schemas.openxmlformats.org/officeDocument/2006/relationships/hyperlink" Target="https://sqlbolt.com/?utm_source=chatgpt.com" TargetMode="External"/><Relationship Id="rId11" Type="http://schemas.openxmlformats.org/officeDocument/2006/relationships/hyperlink" Target="https://www.kaggle.com/learn/python?utm_source=chatgpt.com" TargetMode="External"/><Relationship Id="rId10" Type="http://schemas.openxmlformats.org/officeDocument/2006/relationships/hyperlink" Target="https://www.kaggle.com/learn/python?utm_source=chatgpt.com" TargetMode="External"/><Relationship Id="rId13" Type="http://schemas.openxmlformats.org/officeDocument/2006/relationships/hyperlink" Target="https://pandas.pydata.org/docs/getting_started/?utm_source=chatgpt.com" TargetMode="External"/><Relationship Id="rId12" Type="http://schemas.openxmlformats.org/officeDocument/2006/relationships/hyperlink" Target="https://pandas.pydata.org/docs/getting_started/?utm_source=chatgpt.com" TargetMode="External"/><Relationship Id="rId15" Type="http://schemas.openxmlformats.org/officeDocument/2006/relationships/hyperlink" Target="https://pandas.pydata.org/docs/getting_started/intro_tutorials/?utm_source=chatgpt.com" TargetMode="External"/><Relationship Id="rId14" Type="http://schemas.openxmlformats.org/officeDocument/2006/relationships/hyperlink" Target="https://pandas.pydata.org/docs/getting_started/intro_tutorials/?utm_source=chatgpt.com" TargetMode="External"/><Relationship Id="rId17" Type="http://schemas.openxmlformats.org/officeDocument/2006/relationships/hyperlink" Target="https://www.khanacademy.org/math/statistics-probability?utm_source=chatgpt.com" TargetMode="External"/><Relationship Id="rId16" Type="http://schemas.openxmlformats.org/officeDocument/2006/relationships/hyperlink" Target="https://www.khanacademy.org/math/statistics-probability?utm_source=chatgpt.com" TargetMode="External"/><Relationship Id="rId19" Type="http://schemas.openxmlformats.org/officeDocument/2006/relationships/hyperlink" Target="https://matplotlib.org/stable/tutorials/?utm_source=chatgpt.com" TargetMode="External"/><Relationship Id="rId18" Type="http://schemas.openxmlformats.org/officeDocument/2006/relationships/hyperlink" Target="https://matplotlib.org/stable/tutorials/?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